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55D2D" w14:textId="77777777" w:rsidR="000C242E" w:rsidRPr="00D928CD" w:rsidRDefault="000C242E" w:rsidP="000C242E">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proofErr w:type="spellStart"/>
      <w:r w:rsidRPr="00D928CD">
        <w:rPr>
          <w:rFonts w:ascii="Garamond" w:eastAsia="Times New Roman" w:hAnsi="Garamond" w:cs="Times New Roman"/>
          <w:b/>
          <w:snapToGrid w:val="0"/>
          <w:sz w:val="28"/>
          <w:szCs w:val="28"/>
          <w:lang w:eastAsia="it-IT"/>
        </w:rPr>
        <w:t>Fac</w:t>
      </w:r>
      <w:proofErr w:type="spellEnd"/>
      <w:r w:rsidRPr="00D928CD">
        <w:rPr>
          <w:rFonts w:ascii="Garamond" w:eastAsia="Times New Roman" w:hAnsi="Garamond" w:cs="Times New Roman"/>
          <w:b/>
          <w:snapToGrid w:val="0"/>
          <w:sz w:val="28"/>
          <w:szCs w:val="28"/>
          <w:lang w:eastAsia="it-IT"/>
        </w:rPr>
        <w:t xml:space="preserve"> simile di </w:t>
      </w:r>
    </w:p>
    <w:p w14:paraId="38545559" w14:textId="77777777" w:rsidR="000C242E" w:rsidRPr="00327739" w:rsidRDefault="000C242E" w:rsidP="000C242E">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sidRPr="00327739">
        <w:rPr>
          <w:rFonts w:ascii="Garamond" w:eastAsia="Times New Roman" w:hAnsi="Garamond" w:cs="Times New Roman"/>
          <w:b/>
          <w:snapToGrid w:val="0"/>
          <w:sz w:val="28"/>
          <w:szCs w:val="28"/>
          <w:lang w:eastAsia="it-IT"/>
        </w:rPr>
        <w:t xml:space="preserve">Offerta Tecnica </w:t>
      </w:r>
    </w:p>
    <w:p w14:paraId="165B148C" w14:textId="77777777" w:rsidR="000C242E" w:rsidRDefault="000C242E" w:rsidP="000C242E">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662"/>
      </w:tblGrid>
      <w:tr w:rsidR="000C242E" w:rsidRPr="0071047E" w14:paraId="1D768F8F" w14:textId="77777777" w:rsidTr="00060C34">
        <w:tc>
          <w:tcPr>
            <w:tcW w:w="3227" w:type="dxa"/>
            <w:shd w:val="clear" w:color="auto" w:fill="auto"/>
            <w:vAlign w:val="center"/>
          </w:tcPr>
          <w:p w14:paraId="3F2FF0D6" w14:textId="77777777" w:rsidR="000C242E" w:rsidRPr="0071047E" w:rsidRDefault="000C242E" w:rsidP="00060C34">
            <w:pPr>
              <w:suppressAutoHyphens/>
              <w:spacing w:after="0" w:line="360" w:lineRule="auto"/>
              <w:rPr>
                <w:rFonts w:ascii="Times New Roman" w:eastAsia="Times New Roman" w:hAnsi="Times New Roman" w:cs="Times New Roman"/>
                <w:i/>
                <w:sz w:val="20"/>
                <w:szCs w:val="20"/>
                <w:lang w:eastAsia="zh-CN"/>
              </w:rPr>
            </w:pPr>
            <w:r w:rsidRPr="0071047E">
              <w:rPr>
                <w:rFonts w:ascii="Times New Roman" w:eastAsia="Times New Roman" w:hAnsi="Times New Roman" w:cs="Times New Roman"/>
                <w:i/>
                <w:sz w:val="20"/>
                <w:szCs w:val="20"/>
                <w:lang w:eastAsia="zh-CN"/>
              </w:rPr>
              <w:t>Stazione appaltante:</w:t>
            </w:r>
          </w:p>
          <w:p w14:paraId="2D372181" w14:textId="77777777" w:rsidR="000C242E" w:rsidRPr="0071047E" w:rsidRDefault="000C242E" w:rsidP="00060C34">
            <w:pPr>
              <w:suppressAutoHyphens/>
              <w:spacing w:after="0" w:line="360" w:lineRule="auto"/>
              <w:rPr>
                <w:rFonts w:ascii="Times New Roman" w:eastAsia="Times New Roman" w:hAnsi="Times New Roman" w:cs="Times New Roman"/>
                <w:i/>
                <w:sz w:val="20"/>
                <w:szCs w:val="20"/>
                <w:lang w:eastAsia="zh-CN"/>
              </w:rPr>
            </w:pPr>
            <w:r w:rsidRPr="0071047E">
              <w:rPr>
                <w:rFonts w:ascii="Times New Roman" w:eastAsia="Times New Roman" w:hAnsi="Times New Roman" w:cs="Times New Roman"/>
                <w:i/>
                <w:sz w:val="20"/>
                <w:szCs w:val="20"/>
                <w:lang w:eastAsia="zh-CN"/>
              </w:rPr>
              <w:t>POLITECNICO DI TORINO</w:t>
            </w:r>
          </w:p>
        </w:tc>
        <w:tc>
          <w:tcPr>
            <w:tcW w:w="6662" w:type="dxa"/>
            <w:shd w:val="clear" w:color="auto" w:fill="auto"/>
          </w:tcPr>
          <w:p w14:paraId="370D0A96" w14:textId="77777777" w:rsidR="000C242E" w:rsidRPr="0018470C" w:rsidRDefault="000C242E" w:rsidP="00060C34">
            <w:pPr>
              <w:suppressAutoHyphens/>
              <w:spacing w:after="0"/>
              <w:jc w:val="both"/>
              <w:rPr>
                <w:rFonts w:ascii="Times New Roman" w:eastAsia="Times New Roman" w:hAnsi="Times New Roman" w:cs="Times New Roman"/>
                <w:sz w:val="20"/>
                <w:szCs w:val="20"/>
                <w:lang w:eastAsia="zh-CN"/>
              </w:rPr>
            </w:pPr>
            <w:r w:rsidRPr="0018470C">
              <w:rPr>
                <w:rFonts w:ascii="Times New Roman" w:eastAsia="Times New Roman" w:hAnsi="Times New Roman" w:cs="Times New Roman"/>
                <w:sz w:val="20"/>
                <w:szCs w:val="20"/>
                <w:lang w:eastAsia="zh-CN"/>
              </w:rPr>
              <w:t>GARA EUROPERA A PROCEDURA APERTA AI SENSI DELL’ART. 60, D.LGS. 50/2016 E SS.</w:t>
            </w:r>
            <w:proofErr w:type="gramStart"/>
            <w:r w:rsidRPr="0018470C">
              <w:rPr>
                <w:rFonts w:ascii="Times New Roman" w:eastAsia="Times New Roman" w:hAnsi="Times New Roman" w:cs="Times New Roman"/>
                <w:sz w:val="20"/>
                <w:szCs w:val="20"/>
                <w:lang w:eastAsia="zh-CN"/>
              </w:rPr>
              <w:t>MM.II.</w:t>
            </w:r>
            <w:proofErr w:type="gramEnd"/>
            <w:r w:rsidRPr="0018470C">
              <w:rPr>
                <w:rFonts w:ascii="Times New Roman" w:eastAsia="Times New Roman" w:hAnsi="Times New Roman" w:cs="Times New Roman"/>
                <w:sz w:val="20"/>
                <w:szCs w:val="20"/>
                <w:lang w:eastAsia="zh-CN"/>
              </w:rPr>
              <w:t xml:space="preserve"> PER L’AFFIDAMENTO IN CONCESSIONE DEL SERVIZIO DI CASSA E ACCESSORI DEL POLITECNICO DI TORINO</w:t>
            </w:r>
          </w:p>
          <w:p w14:paraId="0A5BE33A" w14:textId="77777777" w:rsidR="000C242E" w:rsidRPr="0018470C" w:rsidRDefault="000C242E" w:rsidP="00060C34">
            <w:pPr>
              <w:suppressAutoHyphens/>
              <w:spacing w:after="0"/>
              <w:jc w:val="both"/>
              <w:rPr>
                <w:rFonts w:ascii="Times New Roman" w:eastAsia="Times New Roman" w:hAnsi="Times New Roman" w:cs="Times New Roman"/>
                <w:sz w:val="20"/>
                <w:szCs w:val="20"/>
                <w:lang w:eastAsia="zh-CN"/>
              </w:rPr>
            </w:pPr>
          </w:p>
          <w:p w14:paraId="0228ED88" w14:textId="77777777" w:rsidR="000C242E" w:rsidRPr="0018470C" w:rsidRDefault="000C242E" w:rsidP="00060C34">
            <w:pPr>
              <w:suppressAutoHyphens/>
              <w:spacing w:after="0"/>
              <w:jc w:val="both"/>
              <w:rPr>
                <w:rFonts w:ascii="Times New Roman" w:eastAsia="Times New Roman" w:hAnsi="Times New Roman" w:cs="Times New Roman"/>
                <w:sz w:val="20"/>
                <w:szCs w:val="20"/>
                <w:lang w:eastAsia="zh-CN"/>
              </w:rPr>
            </w:pPr>
            <w:r w:rsidRPr="0018470C">
              <w:rPr>
                <w:rFonts w:ascii="Times New Roman" w:eastAsia="Times New Roman" w:hAnsi="Times New Roman" w:cs="Times New Roman"/>
                <w:sz w:val="20"/>
                <w:szCs w:val="20"/>
                <w:lang w:eastAsia="zh-CN"/>
              </w:rPr>
              <w:t xml:space="preserve">CIG </w:t>
            </w:r>
            <w:r w:rsidRPr="00F06DF4">
              <w:rPr>
                <w:rFonts w:ascii="Times New Roman" w:eastAsia="Times New Roman" w:hAnsi="Times New Roman" w:cs="Times New Roman"/>
                <w:sz w:val="20"/>
                <w:szCs w:val="20"/>
                <w:lang w:eastAsia="zh-CN"/>
              </w:rPr>
              <w:t>8762521514</w:t>
            </w:r>
          </w:p>
          <w:p w14:paraId="772D3C7D" w14:textId="77777777" w:rsidR="000C242E" w:rsidRPr="0071047E" w:rsidRDefault="000C242E" w:rsidP="00060C34">
            <w:pPr>
              <w:suppressAutoHyphens/>
              <w:spacing w:after="0"/>
              <w:jc w:val="both"/>
              <w:rPr>
                <w:rFonts w:ascii="Times New Roman" w:eastAsia="Times New Roman" w:hAnsi="Times New Roman" w:cs="Times New Roman"/>
                <w:sz w:val="20"/>
                <w:szCs w:val="20"/>
                <w:lang w:eastAsia="zh-CN"/>
              </w:rPr>
            </w:pPr>
            <w:r w:rsidRPr="0018470C">
              <w:rPr>
                <w:rFonts w:ascii="Times New Roman" w:eastAsia="Times New Roman" w:hAnsi="Times New Roman" w:cs="Times New Roman"/>
                <w:sz w:val="20"/>
                <w:szCs w:val="20"/>
                <w:lang w:eastAsia="zh-CN"/>
              </w:rPr>
              <w:t>CUI S00518460019202000039</w:t>
            </w:r>
          </w:p>
        </w:tc>
      </w:tr>
    </w:tbl>
    <w:p w14:paraId="686E2D00" w14:textId="77777777" w:rsidR="000C242E" w:rsidRDefault="000C242E" w:rsidP="000C242E">
      <w:pPr>
        <w:tabs>
          <w:tab w:val="left" w:pos="5387"/>
          <w:tab w:val="left" w:pos="6521"/>
        </w:tabs>
        <w:spacing w:after="0" w:line="240" w:lineRule="auto"/>
        <w:ind w:right="-285"/>
        <w:jc w:val="both"/>
        <w:rPr>
          <w:rFonts w:ascii="Arial" w:eastAsia="Times New Roman" w:hAnsi="Arial" w:cs="Arial"/>
          <w:b/>
          <w:lang w:eastAsia="it-IT"/>
        </w:rPr>
      </w:pPr>
    </w:p>
    <w:p w14:paraId="65C140D9" w14:textId="77777777" w:rsidR="000C242E" w:rsidRPr="000C6D28" w:rsidRDefault="000C242E" w:rsidP="000C242E">
      <w:pPr>
        <w:tabs>
          <w:tab w:val="left" w:pos="5387"/>
          <w:tab w:val="left" w:pos="6521"/>
        </w:tabs>
        <w:spacing w:after="0" w:line="240" w:lineRule="auto"/>
        <w:ind w:right="-285"/>
        <w:jc w:val="both"/>
        <w:rPr>
          <w:rFonts w:ascii="Arial" w:eastAsia="Times New Roman" w:hAnsi="Arial" w:cs="Arial"/>
          <w:b/>
          <w:lang w:eastAsia="it-IT"/>
        </w:rPr>
      </w:pPr>
    </w:p>
    <w:p w14:paraId="41E1BB98" w14:textId="77777777" w:rsidR="000C242E" w:rsidRPr="00B30486" w:rsidRDefault="000C242E" w:rsidP="000C242E">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14:paraId="0BE68C3D" w14:textId="77777777" w:rsidR="000C242E" w:rsidRDefault="000C242E" w:rsidP="000C242E">
      <w:pPr>
        <w:tabs>
          <w:tab w:val="left" w:pos="6521"/>
          <w:tab w:val="left" w:pos="6804"/>
        </w:tabs>
        <w:spacing w:after="0" w:line="240" w:lineRule="auto"/>
        <w:ind w:right="-285"/>
        <w:jc w:val="both"/>
        <w:rPr>
          <w:rFonts w:ascii="Garamond" w:eastAsia="Calibri" w:hAnsi="Garamond" w:cs="Times New Roman"/>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p>
    <w:p w14:paraId="269EC7B8" w14:textId="77777777" w:rsidR="000C242E" w:rsidRDefault="000C242E" w:rsidP="000C242E">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r>
      <w:r>
        <w:rPr>
          <w:rFonts w:ascii="Garamond" w:eastAsia="Calibri" w:hAnsi="Garamond" w:cs="Times New Roman"/>
          <w:b/>
          <w:lang w:eastAsia="it-IT"/>
        </w:rPr>
        <w:t xml:space="preserve"> </w:t>
      </w:r>
    </w:p>
    <w:p w14:paraId="3460A33A" w14:textId="77777777" w:rsidR="000C242E" w:rsidRDefault="000C242E" w:rsidP="000C242E">
      <w:pPr>
        <w:tabs>
          <w:tab w:val="left" w:pos="6521"/>
          <w:tab w:val="left" w:pos="6804"/>
        </w:tabs>
        <w:spacing w:after="0" w:line="240" w:lineRule="auto"/>
        <w:ind w:right="-82"/>
        <w:jc w:val="right"/>
        <w:rPr>
          <w:rFonts w:ascii="Garamond" w:eastAsia="Calibri" w:hAnsi="Garamond" w:cs="Times New Roman"/>
          <w:b/>
          <w:lang w:eastAsia="it-IT"/>
        </w:rPr>
      </w:pPr>
      <w:r>
        <w:rPr>
          <w:rFonts w:ascii="Garamond" w:eastAsia="Calibri" w:hAnsi="Garamond" w:cs="Times New Roman"/>
          <w:b/>
          <w:lang w:eastAsia="it-IT"/>
        </w:rPr>
        <w:t xml:space="preserve"> Spett.le Politecnico di Torino</w:t>
      </w:r>
    </w:p>
    <w:p w14:paraId="7A62C98C" w14:textId="77777777" w:rsidR="000C242E" w:rsidRPr="00B30486" w:rsidRDefault="000C242E" w:rsidP="000C242E">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Area AQUI</w:t>
      </w:r>
    </w:p>
    <w:p w14:paraId="3ADB0C20" w14:textId="77777777" w:rsidR="000C242E" w:rsidRPr="00B30486" w:rsidRDefault="000C242E" w:rsidP="000C242E">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 xml:space="preserve">                                                                                                                                    </w:t>
      </w: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Ufficio Appalti</w:t>
      </w:r>
    </w:p>
    <w:p w14:paraId="006D02AB" w14:textId="77777777" w:rsidR="000C242E" w:rsidRPr="00B30486" w:rsidRDefault="000C242E" w:rsidP="000C242E">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14:paraId="710C01D5" w14:textId="77777777" w:rsidR="000C242E" w:rsidRPr="00B30486" w:rsidRDefault="000C242E" w:rsidP="000C242E">
      <w:pPr>
        <w:tabs>
          <w:tab w:val="left" w:pos="6521"/>
          <w:tab w:val="left" w:pos="6804"/>
        </w:tabs>
        <w:spacing w:after="0" w:line="240" w:lineRule="auto"/>
        <w:ind w:right="-82"/>
        <w:jc w:val="right"/>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10129 – Torino</w:t>
      </w:r>
    </w:p>
    <w:p w14:paraId="74AF2C8E" w14:textId="77777777" w:rsidR="000C242E" w:rsidRPr="00B30486" w:rsidRDefault="000C242E" w:rsidP="000C242E">
      <w:pPr>
        <w:tabs>
          <w:tab w:val="left" w:pos="6521"/>
          <w:tab w:val="left" w:pos="6804"/>
        </w:tabs>
        <w:spacing w:after="0" w:line="240" w:lineRule="auto"/>
        <w:ind w:right="-285"/>
        <w:jc w:val="both"/>
        <w:rPr>
          <w:rFonts w:ascii="Times New Roman" w:eastAsia="Calibri" w:hAnsi="Times New Roman" w:cs="Times New Roman"/>
          <w:b/>
          <w:lang w:eastAsia="it-IT"/>
        </w:rPr>
      </w:pPr>
    </w:p>
    <w:p w14:paraId="7F4D49C7" w14:textId="77777777" w:rsidR="000C242E" w:rsidRPr="00717E43" w:rsidRDefault="000C242E" w:rsidP="000C242E">
      <w:pPr>
        <w:widowControl w:val="0"/>
        <w:tabs>
          <w:tab w:val="right" w:leader="underscore" w:pos="9648"/>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 xml:space="preserve">Il sottoscritto </w:t>
      </w:r>
      <w:r w:rsidRPr="00717E43">
        <w:rPr>
          <w:rFonts w:ascii="Garamond" w:eastAsia="Calibri" w:hAnsi="Garamond" w:cs="Times New Roman"/>
          <w:lang w:eastAsia="it-IT"/>
        </w:rPr>
        <w:tab/>
      </w:r>
    </w:p>
    <w:p w14:paraId="531463C8" w14:textId="77777777" w:rsidR="000C242E" w:rsidRPr="00717E43" w:rsidRDefault="000C242E" w:rsidP="000C242E">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 xml:space="preserve">nato a </w:t>
      </w:r>
      <w:r w:rsidRPr="00717E43">
        <w:rPr>
          <w:rFonts w:ascii="Garamond" w:eastAsia="Calibri" w:hAnsi="Garamond" w:cs="Times New Roman"/>
          <w:lang w:eastAsia="it-IT"/>
        </w:rPr>
        <w:tab/>
        <w:t>____________________________________ (Pr) _______________________</w:t>
      </w:r>
    </w:p>
    <w:p w14:paraId="5044DFAC" w14:textId="77777777" w:rsidR="000C242E" w:rsidRPr="00717E43" w:rsidRDefault="000C242E" w:rsidP="000C242E">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il _______________________ in qualità di _________________________________ (indicare la carica sociale) della società _____________________________________________________________________________</w:t>
      </w:r>
    </w:p>
    <w:p w14:paraId="7D45B886" w14:textId="77777777" w:rsidR="000C242E" w:rsidRPr="00717E43" w:rsidRDefault="000C242E" w:rsidP="000C242E">
      <w:pPr>
        <w:widowControl w:val="0"/>
        <w:tabs>
          <w:tab w:val="right" w:leader="underscore" w:pos="9648"/>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con sede legale in_________________________________________________________________________</w:t>
      </w:r>
    </w:p>
    <w:p w14:paraId="76C4F439" w14:textId="77777777" w:rsidR="000C242E" w:rsidRPr="00717E43" w:rsidRDefault="000C242E" w:rsidP="000C242E">
      <w:pPr>
        <w:widowControl w:val="0"/>
        <w:tabs>
          <w:tab w:val="right" w:leader="underscore" w:pos="9648"/>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 xml:space="preserve">con sede operativa in </w:t>
      </w:r>
      <w:r w:rsidRPr="00717E43">
        <w:rPr>
          <w:rFonts w:ascii="Garamond" w:eastAsia="Calibri" w:hAnsi="Garamond" w:cs="Times New Roman"/>
          <w:lang w:eastAsia="it-IT"/>
        </w:rPr>
        <w:tab/>
      </w:r>
    </w:p>
    <w:p w14:paraId="7CDA1F2C" w14:textId="77777777" w:rsidR="000C242E" w:rsidRPr="00717E43" w:rsidRDefault="000C242E" w:rsidP="000C242E">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 xml:space="preserve">n. telefono _________________ n. fax _______________ </w:t>
      </w:r>
      <w:proofErr w:type="spellStart"/>
      <w:r w:rsidRPr="00717E43">
        <w:rPr>
          <w:rFonts w:ascii="Garamond" w:eastAsia="Calibri" w:hAnsi="Garamond" w:cs="Times New Roman"/>
          <w:lang w:eastAsia="it-IT"/>
        </w:rPr>
        <w:t>cell</w:t>
      </w:r>
      <w:proofErr w:type="spellEnd"/>
      <w:r w:rsidRPr="00717E43">
        <w:rPr>
          <w:rFonts w:ascii="Garamond" w:eastAsia="Calibri" w:hAnsi="Garamond" w:cs="Times New Roman"/>
          <w:lang w:eastAsia="it-IT"/>
        </w:rPr>
        <w:t>. ___________ e-mail ____________________</w:t>
      </w:r>
    </w:p>
    <w:p w14:paraId="56EACD8C" w14:textId="77777777" w:rsidR="000C242E" w:rsidRPr="00717E43" w:rsidRDefault="000C242E" w:rsidP="000C242E">
      <w:pPr>
        <w:widowControl w:val="0"/>
        <w:tabs>
          <w:tab w:val="right" w:leader="underscore" w:pos="9648"/>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 xml:space="preserve">sito web </w:t>
      </w:r>
      <w:r w:rsidRPr="00717E43">
        <w:rPr>
          <w:rFonts w:ascii="Garamond" w:eastAsia="Calibri" w:hAnsi="Garamond" w:cs="Times New Roman"/>
          <w:lang w:eastAsia="it-IT"/>
        </w:rPr>
        <w:tab/>
      </w:r>
    </w:p>
    <w:p w14:paraId="08DC69BA" w14:textId="77777777" w:rsidR="000C242E" w:rsidRPr="00717E43" w:rsidRDefault="000C242E" w:rsidP="000C242E">
      <w:pPr>
        <w:widowControl w:val="0"/>
        <w:tabs>
          <w:tab w:val="right" w:leader="underscore" w:pos="9624"/>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 xml:space="preserve">Codice Fiscale </w:t>
      </w:r>
      <w:r w:rsidRPr="00717E43">
        <w:rPr>
          <w:rFonts w:ascii="Garamond" w:eastAsia="Calibri" w:hAnsi="Garamond" w:cs="Times New Roman"/>
          <w:lang w:eastAsia="it-IT"/>
        </w:rPr>
        <w:tab/>
      </w:r>
    </w:p>
    <w:p w14:paraId="0AD0AD56" w14:textId="77777777" w:rsidR="000C242E" w:rsidRPr="00717E43" w:rsidRDefault="000C242E" w:rsidP="000C242E">
      <w:pPr>
        <w:widowControl w:val="0"/>
        <w:tabs>
          <w:tab w:val="right" w:leader="underscore" w:pos="9600"/>
        </w:tabs>
        <w:spacing w:after="0" w:line="360" w:lineRule="auto"/>
        <w:rPr>
          <w:rFonts w:ascii="Garamond" w:eastAsia="Calibri" w:hAnsi="Garamond" w:cs="Times New Roman"/>
          <w:lang w:eastAsia="it-IT"/>
        </w:rPr>
      </w:pPr>
      <w:r w:rsidRPr="00717E43">
        <w:rPr>
          <w:rFonts w:ascii="Garamond" w:eastAsia="Calibri" w:hAnsi="Garamond" w:cs="Times New Roman"/>
          <w:lang w:eastAsia="it-IT"/>
        </w:rPr>
        <w:t xml:space="preserve">partita IVA n. </w:t>
      </w:r>
      <w:r w:rsidRPr="00717E43">
        <w:rPr>
          <w:rFonts w:ascii="Garamond" w:eastAsia="Calibri" w:hAnsi="Garamond" w:cs="Times New Roman"/>
          <w:lang w:eastAsia="it-IT"/>
        </w:rPr>
        <w:tab/>
      </w:r>
    </w:p>
    <w:p w14:paraId="02966887" w14:textId="77777777" w:rsidR="000C242E" w:rsidRPr="00717E43" w:rsidRDefault="000C242E" w:rsidP="000C242E">
      <w:pPr>
        <w:widowControl w:val="0"/>
        <w:tabs>
          <w:tab w:val="right" w:leader="underscore" w:pos="9600"/>
        </w:tabs>
        <w:spacing w:after="0" w:line="360" w:lineRule="auto"/>
        <w:jc w:val="both"/>
        <w:rPr>
          <w:rFonts w:ascii="Garamond" w:eastAsia="Calibri" w:hAnsi="Garamond" w:cs="Times New Roman"/>
          <w:lang w:eastAsia="it-IT"/>
        </w:rPr>
      </w:pPr>
    </w:p>
    <w:p w14:paraId="5F34C3EE" w14:textId="77777777" w:rsidR="000C242E" w:rsidRPr="00C40A8D" w:rsidRDefault="000C242E" w:rsidP="000C242E">
      <w:pPr>
        <w:spacing w:line="360" w:lineRule="auto"/>
        <w:jc w:val="center"/>
        <w:rPr>
          <w:rFonts w:ascii="Garamond" w:hAnsi="Garamond"/>
        </w:rPr>
      </w:pPr>
      <w:r w:rsidRPr="00C40A8D">
        <w:rPr>
          <w:rFonts w:ascii="Garamond" w:hAnsi="Garamond"/>
        </w:rPr>
        <w:t xml:space="preserve">DICHIARA </w:t>
      </w:r>
    </w:p>
    <w:p w14:paraId="064D66D8" w14:textId="4F56AE0C" w:rsidR="000C242E" w:rsidRPr="000956F1" w:rsidRDefault="000C242E" w:rsidP="000C242E">
      <w:pPr>
        <w:pStyle w:val="Paragrafoelenco"/>
        <w:numPr>
          <w:ilvl w:val="0"/>
          <w:numId w:val="6"/>
        </w:numPr>
        <w:contextualSpacing w:val="0"/>
        <w:jc w:val="both"/>
        <w:rPr>
          <w:rFonts w:ascii="Garamond" w:hAnsi="Garamond" w:cs="Calibri"/>
          <w:sz w:val="22"/>
          <w:szCs w:val="22"/>
        </w:rPr>
      </w:pPr>
      <w:r w:rsidRPr="000956F1">
        <w:rPr>
          <w:rFonts w:ascii="Garamond" w:hAnsi="Garamond" w:cs="Calibri"/>
          <w:sz w:val="22"/>
          <w:szCs w:val="22"/>
        </w:rPr>
        <w:t xml:space="preserve">di essere accreditato allo svolgimento delle funzioni tecniche di “Partner Tecnologico” per lo scambio dei flussi con il Nodo dei Pagamenti SPC, secondo quanto previsto dalle linee guida rilasciate dall’Agenzia per l’Italia Digitale ai sensi del </w:t>
      </w:r>
      <w:proofErr w:type="spellStart"/>
      <w:proofErr w:type="gramStart"/>
      <w:r w:rsidRPr="000956F1">
        <w:rPr>
          <w:rFonts w:ascii="Garamond" w:hAnsi="Garamond" w:cs="Calibri"/>
          <w:sz w:val="22"/>
          <w:szCs w:val="22"/>
        </w:rPr>
        <w:t>D.Lgs</w:t>
      </w:r>
      <w:proofErr w:type="gramEnd"/>
      <w:r w:rsidRPr="000956F1">
        <w:rPr>
          <w:rFonts w:ascii="Garamond" w:hAnsi="Garamond" w:cs="Calibri"/>
          <w:sz w:val="22"/>
          <w:szCs w:val="22"/>
        </w:rPr>
        <w:t>.</w:t>
      </w:r>
      <w:proofErr w:type="spellEnd"/>
      <w:r w:rsidRPr="000956F1">
        <w:rPr>
          <w:rFonts w:ascii="Garamond" w:hAnsi="Garamond" w:cs="Calibri"/>
          <w:sz w:val="22"/>
          <w:szCs w:val="22"/>
        </w:rPr>
        <w:t xml:space="preserve"> n. 82 del 07 marzo 2005;</w:t>
      </w:r>
    </w:p>
    <w:p w14:paraId="626F2DBB" w14:textId="491369A1" w:rsidR="000C242E" w:rsidRPr="00C40A8D" w:rsidRDefault="000C242E" w:rsidP="009A52C6">
      <w:pPr>
        <w:pStyle w:val="Paragrafoelenco"/>
        <w:numPr>
          <w:ilvl w:val="0"/>
          <w:numId w:val="6"/>
        </w:numPr>
        <w:contextualSpacing w:val="0"/>
        <w:jc w:val="both"/>
        <w:rPr>
          <w:rFonts w:ascii="Garamond" w:hAnsi="Garamond" w:cs="Calibri"/>
          <w:color w:val="FF0000"/>
          <w:sz w:val="22"/>
          <w:szCs w:val="22"/>
        </w:rPr>
      </w:pPr>
      <w:r w:rsidRPr="00C40A8D">
        <w:rPr>
          <w:rFonts w:ascii="Garamond" w:hAnsi="Garamond" w:cs="Calibri"/>
          <w:sz w:val="22"/>
          <w:szCs w:val="22"/>
        </w:rPr>
        <w:t>di avere già integrato oppure di impegnarsi a integrare, entro i termini di avvio del servizio, nei propri sistemi di incasso e pagamento la piattaforma MIF3 della Società Argentea che gestisce per l’Ateneo l’Ordinativo Informatico OPI SIOPE+ (Decreto MEF per le Università del 30 maggio 2018), in modo da consentire la completa automazione dei processi connessi all’estinzione degli ordinativi di incasso e pagamento trasmessi dal Pol</w:t>
      </w:r>
      <w:r w:rsidR="000956F1">
        <w:rPr>
          <w:rFonts w:ascii="Garamond" w:hAnsi="Garamond" w:cs="Calibri"/>
          <w:sz w:val="22"/>
          <w:szCs w:val="22"/>
        </w:rPr>
        <w:t>itecnico all’Istituto Cassiere;</w:t>
      </w:r>
    </w:p>
    <w:p w14:paraId="5E3A40CA" w14:textId="141C9DB5" w:rsidR="000C242E" w:rsidRPr="00C40A8D" w:rsidRDefault="000C242E" w:rsidP="000C242E">
      <w:pPr>
        <w:pStyle w:val="Paragrafoelenco"/>
        <w:numPr>
          <w:ilvl w:val="0"/>
          <w:numId w:val="6"/>
        </w:numPr>
        <w:jc w:val="both"/>
        <w:rPr>
          <w:rFonts w:ascii="Garamond" w:eastAsiaTheme="minorHAnsi" w:hAnsi="Garamond" w:cstheme="minorBidi"/>
          <w:bCs/>
          <w:sz w:val="22"/>
          <w:szCs w:val="22"/>
        </w:rPr>
      </w:pPr>
      <w:r w:rsidRPr="00C40A8D">
        <w:rPr>
          <w:rFonts w:ascii="Garamond" w:eastAsiaTheme="minorHAnsi" w:hAnsi="Garamond" w:cstheme="minorBidi"/>
          <w:bCs/>
          <w:sz w:val="22"/>
          <w:szCs w:val="22"/>
        </w:rPr>
        <w:t xml:space="preserve">che il servizio di cassa è sicuro, compatibile e allineato con la Piattaforma dell’Ordinativo Informatico OPI SIOPE + e recepisce in via diretta, come requisiti minimi, tutte le funzionalità specificate </w:t>
      </w:r>
      <w:r w:rsidR="00342D34">
        <w:rPr>
          <w:rFonts w:ascii="Garamond" w:eastAsiaTheme="minorHAnsi" w:hAnsi="Garamond" w:cstheme="minorBidi"/>
          <w:bCs/>
          <w:sz w:val="22"/>
          <w:szCs w:val="22"/>
        </w:rPr>
        <w:t>nell’</w:t>
      </w:r>
      <w:r w:rsidRPr="00C40A8D">
        <w:rPr>
          <w:rFonts w:ascii="Garamond" w:eastAsiaTheme="minorHAnsi" w:hAnsi="Garamond" w:cstheme="minorBidi"/>
          <w:bCs/>
          <w:sz w:val="22"/>
          <w:szCs w:val="22"/>
        </w:rPr>
        <w:t>Allegato A3</w:t>
      </w:r>
      <w:r w:rsidR="00342D34">
        <w:rPr>
          <w:rFonts w:ascii="Garamond" w:eastAsiaTheme="minorHAnsi" w:hAnsi="Garamond" w:cstheme="minorBidi"/>
          <w:bCs/>
          <w:sz w:val="22"/>
          <w:szCs w:val="22"/>
        </w:rPr>
        <w:t xml:space="preserve"> al C.S.O.</w:t>
      </w:r>
      <w:r w:rsidRPr="00C40A8D">
        <w:rPr>
          <w:rFonts w:ascii="Garamond" w:eastAsiaTheme="minorHAnsi" w:hAnsi="Garamond" w:cstheme="minorBidi"/>
          <w:bCs/>
          <w:sz w:val="22"/>
          <w:szCs w:val="22"/>
        </w:rPr>
        <w:t>;</w:t>
      </w:r>
    </w:p>
    <w:p w14:paraId="7583A12B" w14:textId="457A2ABE" w:rsidR="006C78FE" w:rsidRPr="00F9609B" w:rsidRDefault="00D23940" w:rsidP="00C226F1">
      <w:pPr>
        <w:pStyle w:val="Paragrafoelenco"/>
        <w:numPr>
          <w:ilvl w:val="0"/>
          <w:numId w:val="6"/>
        </w:numPr>
        <w:rPr>
          <w:rFonts w:ascii="Garamond" w:hAnsi="Garamond"/>
          <w:i/>
          <w:iCs/>
          <w:sz w:val="22"/>
          <w:szCs w:val="22"/>
        </w:rPr>
      </w:pPr>
      <w:r w:rsidRPr="00F9609B">
        <w:rPr>
          <w:rFonts w:ascii="Garamond" w:hAnsi="Garamond" w:cs="Calibri"/>
          <w:sz w:val="22"/>
          <w:szCs w:val="22"/>
        </w:rPr>
        <w:t>che il</w:t>
      </w:r>
      <w:r w:rsidRPr="00F9609B">
        <w:rPr>
          <w:rFonts w:ascii="Garamond" w:hAnsi="Garamond" w:cs="Calibri"/>
          <w:spacing w:val="4"/>
          <w:sz w:val="22"/>
          <w:szCs w:val="22"/>
        </w:rPr>
        <w:t xml:space="preserve"> servizio di cassa </w:t>
      </w:r>
      <w:r w:rsidR="00F9609B" w:rsidRPr="00F9609B">
        <w:rPr>
          <w:rFonts w:ascii="Garamond" w:hAnsi="Garamond" w:cs="Calibri"/>
          <w:spacing w:val="4"/>
          <w:sz w:val="22"/>
          <w:szCs w:val="22"/>
        </w:rPr>
        <w:t>è</w:t>
      </w:r>
      <w:r w:rsidRPr="00F9609B">
        <w:rPr>
          <w:rFonts w:ascii="Garamond" w:hAnsi="Garamond" w:cs="Calibri"/>
          <w:spacing w:val="4"/>
          <w:sz w:val="22"/>
          <w:szCs w:val="22"/>
        </w:rPr>
        <w:t xml:space="preserve"> assolutamente compatibile, anche per il futuro, con tutti i prodotti offerti dalla Società Argentea che fornisce il pacchetto gestionale di Ordinativo Informatico OPI SIOPE+</w:t>
      </w:r>
      <w:r w:rsidRPr="00F9609B">
        <w:rPr>
          <w:rFonts w:ascii="Calibri" w:hAnsi="Calibri" w:cs="Calibri"/>
          <w:spacing w:val="4"/>
          <w:sz w:val="22"/>
          <w:szCs w:val="22"/>
        </w:rPr>
        <w:t xml:space="preserve"> </w:t>
      </w:r>
    </w:p>
    <w:p w14:paraId="43D2B47D" w14:textId="77777777" w:rsidR="00F9609B" w:rsidRDefault="00F9609B" w:rsidP="001315F3">
      <w:pPr>
        <w:pStyle w:val="Titolo9"/>
        <w:rPr>
          <w:rFonts w:ascii="Garamond" w:hAnsi="Garamond" w:cs="Times New Roman"/>
          <w:b w:val="0"/>
          <w:iCs/>
          <w:sz w:val="22"/>
          <w:szCs w:val="22"/>
        </w:rPr>
      </w:pPr>
    </w:p>
    <w:p w14:paraId="40E6FF16" w14:textId="77777777" w:rsidR="00F9609B" w:rsidRDefault="00F9609B" w:rsidP="001315F3">
      <w:pPr>
        <w:pStyle w:val="Titolo9"/>
        <w:rPr>
          <w:rFonts w:ascii="Garamond" w:hAnsi="Garamond" w:cs="Times New Roman"/>
          <w:b w:val="0"/>
          <w:iCs/>
          <w:sz w:val="22"/>
          <w:szCs w:val="22"/>
        </w:rPr>
      </w:pPr>
    </w:p>
    <w:p w14:paraId="1B4DFEF2" w14:textId="0562F894" w:rsidR="001315F3" w:rsidRDefault="006C78FE" w:rsidP="001315F3">
      <w:pPr>
        <w:pStyle w:val="Titolo9"/>
        <w:rPr>
          <w:rFonts w:ascii="Garamond" w:hAnsi="Garamond" w:cs="Times New Roman"/>
          <w:i/>
          <w:iCs/>
          <w:sz w:val="22"/>
          <w:szCs w:val="22"/>
        </w:rPr>
      </w:pPr>
      <w:r w:rsidRPr="006C78FE">
        <w:rPr>
          <w:rFonts w:ascii="Garamond" w:hAnsi="Garamond" w:cs="Times New Roman"/>
          <w:b w:val="0"/>
          <w:iCs/>
          <w:sz w:val="22"/>
          <w:szCs w:val="22"/>
        </w:rPr>
        <w:t xml:space="preserve">Formula </w:t>
      </w:r>
      <w:r w:rsidR="000C242E" w:rsidRPr="00C40A8D">
        <w:rPr>
          <w:rFonts w:ascii="Garamond" w:hAnsi="Garamond" w:cs="Times New Roman"/>
          <w:b w:val="0"/>
          <w:iCs/>
          <w:sz w:val="22"/>
          <w:szCs w:val="22"/>
        </w:rPr>
        <w:t xml:space="preserve">la seguente </w:t>
      </w:r>
      <w:r w:rsidR="000C242E" w:rsidRPr="00C40A8D">
        <w:rPr>
          <w:rFonts w:ascii="Garamond" w:hAnsi="Garamond" w:cs="Times New Roman"/>
          <w:i/>
          <w:iCs/>
          <w:sz w:val="22"/>
          <w:szCs w:val="22"/>
        </w:rPr>
        <w:t>OFFERTA TECNICA</w:t>
      </w:r>
    </w:p>
    <w:p w14:paraId="31C5342D" w14:textId="77777777" w:rsidR="001315F3" w:rsidRPr="001315F3" w:rsidRDefault="001315F3" w:rsidP="001315F3">
      <w:pPr>
        <w:rPr>
          <w:lang w:eastAsia="it-IT"/>
        </w:rPr>
      </w:pPr>
    </w:p>
    <w:p w14:paraId="7A45E34C" w14:textId="4F5E21BB" w:rsidR="000C242E" w:rsidRPr="00C40A8D" w:rsidRDefault="001315F3" w:rsidP="001315F3">
      <w:pPr>
        <w:pStyle w:val="Titolo9"/>
        <w:jc w:val="left"/>
        <w:rPr>
          <w:rFonts w:ascii="Garamond" w:hAnsi="Garamond"/>
        </w:rPr>
      </w:pPr>
      <w:r>
        <w:rPr>
          <w:rFonts w:ascii="Garamond" w:hAnsi="Garamond"/>
          <w:b w:val="0"/>
          <w:sz w:val="22"/>
          <w:szCs w:val="22"/>
        </w:rPr>
        <w:t xml:space="preserve">composta da </w:t>
      </w:r>
      <w:r w:rsidRPr="001315F3">
        <w:rPr>
          <w:rFonts w:ascii="Garamond" w:hAnsi="Garamond"/>
          <w:b w:val="0"/>
        </w:rPr>
        <w:t>u</w:t>
      </w:r>
      <w:r w:rsidR="000C242E" w:rsidRPr="001315F3">
        <w:rPr>
          <w:rFonts w:ascii="Garamond" w:hAnsi="Garamond"/>
          <w:b w:val="0"/>
        </w:rPr>
        <w:t xml:space="preserve">na </w:t>
      </w:r>
      <w:r w:rsidR="000C242E" w:rsidRPr="00C40A8D">
        <w:rPr>
          <w:rFonts w:ascii="Garamond" w:hAnsi="Garamond"/>
        </w:rPr>
        <w:t xml:space="preserve">Relazione tecnica costituita da non più di 25 pagine (indice escluso) e, oltre l’indicato limite numerico, </w:t>
      </w:r>
      <w:r>
        <w:rPr>
          <w:rFonts w:ascii="Garamond" w:hAnsi="Garamond"/>
        </w:rPr>
        <w:t>da</w:t>
      </w:r>
      <w:r w:rsidR="000C242E" w:rsidRPr="00C40A8D">
        <w:rPr>
          <w:rFonts w:ascii="Garamond" w:hAnsi="Garamond"/>
        </w:rPr>
        <w:t>i seguenti allegati:</w:t>
      </w:r>
    </w:p>
    <w:p w14:paraId="662DC41B" w14:textId="77777777" w:rsidR="000C242E" w:rsidRPr="00C40A8D" w:rsidRDefault="000C242E" w:rsidP="000C242E">
      <w:pPr>
        <w:numPr>
          <w:ilvl w:val="0"/>
          <w:numId w:val="1"/>
        </w:numPr>
        <w:tabs>
          <w:tab w:val="center" w:pos="709"/>
          <w:tab w:val="right" w:pos="9072"/>
        </w:tabs>
        <w:spacing w:after="0" w:line="240" w:lineRule="auto"/>
        <w:jc w:val="both"/>
        <w:rPr>
          <w:rFonts w:ascii="Garamond" w:hAnsi="Garamond" w:cs="Arial"/>
        </w:rPr>
      </w:pPr>
      <w:r w:rsidRPr="00C40A8D">
        <w:rPr>
          <w:rFonts w:ascii="Garamond" w:hAnsi="Garamond" w:cs="Arial"/>
          <w:b/>
        </w:rPr>
        <w:t xml:space="preserve">Curriculum Vitae </w:t>
      </w:r>
      <w:r w:rsidRPr="00C40A8D">
        <w:rPr>
          <w:rFonts w:ascii="Garamond" w:hAnsi="Garamond" w:cs="Arial"/>
        </w:rPr>
        <w:t>delle</w:t>
      </w:r>
      <w:r w:rsidRPr="00C40A8D">
        <w:rPr>
          <w:rFonts w:ascii="Garamond" w:hAnsi="Garamond" w:cs="Arial"/>
          <w:b/>
        </w:rPr>
        <w:t xml:space="preserve"> </w:t>
      </w:r>
      <w:r w:rsidRPr="00C40A8D">
        <w:rPr>
          <w:rFonts w:ascii="Garamond" w:hAnsi="Garamond" w:cs="Arial"/>
        </w:rPr>
        <w:t>figure professionali proposte;</w:t>
      </w:r>
    </w:p>
    <w:p w14:paraId="04C9366D" w14:textId="77034CEF" w:rsidR="000C242E" w:rsidRPr="00C40A8D" w:rsidRDefault="00635A77" w:rsidP="000C242E">
      <w:pPr>
        <w:numPr>
          <w:ilvl w:val="0"/>
          <w:numId w:val="1"/>
        </w:numPr>
        <w:tabs>
          <w:tab w:val="center" w:pos="709"/>
          <w:tab w:val="right" w:pos="9072"/>
        </w:tabs>
        <w:spacing w:after="0" w:line="240" w:lineRule="auto"/>
        <w:jc w:val="both"/>
        <w:rPr>
          <w:rFonts w:ascii="Garamond" w:hAnsi="Garamond" w:cs="Arial"/>
        </w:rPr>
      </w:pPr>
      <w:r>
        <w:rPr>
          <w:rFonts w:ascii="Garamond" w:hAnsi="Garamond" w:cs="Arial"/>
          <w:i/>
        </w:rPr>
        <w:t>(</w:t>
      </w:r>
      <w:r w:rsidR="000C242E" w:rsidRPr="00C40A8D">
        <w:rPr>
          <w:rFonts w:ascii="Garamond" w:hAnsi="Garamond" w:cs="Arial"/>
          <w:i/>
        </w:rPr>
        <w:t>eventual</w:t>
      </w:r>
      <w:r>
        <w:rPr>
          <w:rFonts w:ascii="Garamond" w:hAnsi="Garamond" w:cs="Arial"/>
          <w:i/>
        </w:rPr>
        <w:t>i)</w:t>
      </w:r>
      <w:r w:rsidR="000C242E" w:rsidRPr="00C40A8D">
        <w:rPr>
          <w:rFonts w:ascii="Garamond" w:hAnsi="Garamond" w:cs="Arial"/>
        </w:rPr>
        <w:t xml:space="preserve"> schemi </w:t>
      </w:r>
      <w:r>
        <w:rPr>
          <w:rFonts w:ascii="Garamond" w:hAnsi="Garamond" w:cs="Arial"/>
        </w:rPr>
        <w:t>grafici esplicativi che illustra</w:t>
      </w:r>
      <w:r w:rsidR="000C242E" w:rsidRPr="00C40A8D">
        <w:rPr>
          <w:rFonts w:ascii="Garamond" w:hAnsi="Garamond" w:cs="Arial"/>
        </w:rPr>
        <w:t>no le peculiarità e le caratteristiche delle specifiche     proposte.</w:t>
      </w:r>
    </w:p>
    <w:p w14:paraId="36399551" w14:textId="77777777" w:rsidR="000C242E" w:rsidRPr="00C40A8D" w:rsidRDefault="000C242E" w:rsidP="000C242E">
      <w:pPr>
        <w:tabs>
          <w:tab w:val="center" w:pos="709"/>
          <w:tab w:val="right" w:pos="9072"/>
        </w:tabs>
        <w:spacing w:after="0" w:line="240" w:lineRule="auto"/>
        <w:ind w:left="720"/>
        <w:jc w:val="both"/>
        <w:rPr>
          <w:rFonts w:ascii="Garamond" w:hAnsi="Garamond" w:cs="Arial"/>
        </w:rPr>
      </w:pPr>
    </w:p>
    <w:p w14:paraId="5A221439" w14:textId="77777777" w:rsidR="000C242E" w:rsidRPr="00C40A8D" w:rsidRDefault="000C242E" w:rsidP="000C242E">
      <w:pPr>
        <w:pStyle w:val="Titolo6"/>
        <w:ind w:right="-79"/>
        <w:rPr>
          <w:rFonts w:ascii="Garamond" w:hAnsi="Garamond"/>
          <w:b w:val="0"/>
          <w:sz w:val="22"/>
          <w:szCs w:val="22"/>
        </w:rPr>
      </w:pPr>
      <w:r w:rsidRPr="00C40A8D">
        <w:rPr>
          <w:rFonts w:ascii="Garamond" w:hAnsi="Garamond"/>
          <w:b w:val="0"/>
          <w:sz w:val="22"/>
          <w:szCs w:val="22"/>
        </w:rPr>
        <w:t xml:space="preserve">Al fine di agevolare la lettura della relazione, si fornisce l’indice delle pagine ove vengono sviluppati i singoli elementi oggetto di valutazione: </w:t>
      </w:r>
    </w:p>
    <w:p w14:paraId="686EB9B4" w14:textId="77777777" w:rsidR="000C242E" w:rsidRPr="00C40A8D" w:rsidRDefault="000C242E" w:rsidP="000C242E">
      <w:pPr>
        <w:rPr>
          <w:rFonts w:ascii="Garamond" w:hAnsi="Garamond"/>
          <w:lang w:eastAsia="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38"/>
        <w:gridCol w:w="1314"/>
      </w:tblGrid>
      <w:tr w:rsidR="000C242E" w:rsidRPr="00C40A8D" w14:paraId="42ABA4EB" w14:textId="77777777" w:rsidTr="001F3C4F">
        <w:trPr>
          <w:trHeight w:val="946"/>
        </w:trPr>
        <w:tc>
          <w:tcPr>
            <w:tcW w:w="8638" w:type="dxa"/>
            <w:tcBorders>
              <w:top w:val="single" w:sz="4" w:space="0" w:color="auto"/>
              <w:left w:val="single" w:sz="4" w:space="0" w:color="auto"/>
              <w:bottom w:val="single" w:sz="4" w:space="0" w:color="auto"/>
              <w:right w:val="single" w:sz="4" w:space="0" w:color="auto"/>
            </w:tcBorders>
            <w:vAlign w:val="center"/>
          </w:tcPr>
          <w:p w14:paraId="7AD716EA" w14:textId="77777777" w:rsidR="000C242E" w:rsidRPr="00C40A8D" w:rsidRDefault="000C242E" w:rsidP="00060C34">
            <w:pPr>
              <w:tabs>
                <w:tab w:val="left" w:pos="7513"/>
              </w:tabs>
              <w:suppressAutoHyphens/>
              <w:spacing w:after="0" w:line="240" w:lineRule="auto"/>
              <w:ind w:left="360"/>
              <w:jc w:val="center"/>
              <w:rPr>
                <w:rFonts w:ascii="Garamond" w:hAnsi="Garamond"/>
                <w:b/>
                <w:lang w:eastAsia="ar-SA"/>
              </w:rPr>
            </w:pPr>
            <w:r w:rsidRPr="00C40A8D">
              <w:rPr>
                <w:rFonts w:ascii="Garamond" w:hAnsi="Garamond"/>
                <w:b/>
                <w:lang w:eastAsia="ar-SA"/>
              </w:rPr>
              <w:t>CRITERI TECNICO ORGANIZZATIVI</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896F7C2" w14:textId="77777777" w:rsidR="000C242E" w:rsidRPr="00C40A8D" w:rsidRDefault="000C242E" w:rsidP="00060C34">
            <w:pPr>
              <w:keepNext/>
              <w:autoSpaceDE w:val="0"/>
              <w:autoSpaceDN w:val="0"/>
              <w:adjustRightInd w:val="0"/>
              <w:spacing w:after="0" w:line="240" w:lineRule="auto"/>
              <w:ind w:left="426"/>
              <w:outlineLvl w:val="0"/>
              <w:rPr>
                <w:rFonts w:ascii="Garamond" w:hAnsi="Garamond" w:cs="Arial"/>
                <w:b/>
                <w:bCs/>
                <w:kern w:val="1"/>
                <w:lang w:eastAsia="ar-SA"/>
              </w:rPr>
            </w:pPr>
            <w:bookmarkStart w:id="0" w:name="_GoBack"/>
            <w:bookmarkEnd w:id="0"/>
            <w:r w:rsidRPr="00C40A8D">
              <w:rPr>
                <w:rFonts w:ascii="Garamond" w:hAnsi="Garamond" w:cs="Arial"/>
                <w:b/>
                <w:bCs/>
                <w:kern w:val="1"/>
                <w:lang w:eastAsia="ar-SA"/>
              </w:rPr>
              <w:t>PAG.</w:t>
            </w:r>
          </w:p>
        </w:tc>
      </w:tr>
      <w:tr w:rsidR="000C242E" w:rsidRPr="00C40A8D" w14:paraId="0877C1B3" w14:textId="77777777" w:rsidTr="001F3C4F">
        <w:trPr>
          <w:trHeight w:val="846"/>
        </w:trPr>
        <w:tc>
          <w:tcPr>
            <w:tcW w:w="8638" w:type="dxa"/>
            <w:tcBorders>
              <w:top w:val="single" w:sz="4" w:space="0" w:color="auto"/>
              <w:left w:val="single" w:sz="4" w:space="0" w:color="auto"/>
              <w:bottom w:val="single" w:sz="4" w:space="0" w:color="auto"/>
              <w:right w:val="single" w:sz="4" w:space="0" w:color="auto"/>
            </w:tcBorders>
            <w:shd w:val="clear" w:color="auto" w:fill="F2F2F2"/>
          </w:tcPr>
          <w:p w14:paraId="4DE2A43C" w14:textId="7B4461BC" w:rsidR="000C242E" w:rsidRPr="00C40A8D" w:rsidRDefault="000C242E" w:rsidP="000C242E">
            <w:pPr>
              <w:pStyle w:val="Paragrafoelenco"/>
              <w:numPr>
                <w:ilvl w:val="0"/>
                <w:numId w:val="3"/>
              </w:numPr>
              <w:shd w:val="clear" w:color="auto" w:fill="F2F2F2"/>
              <w:suppressAutoHyphens/>
              <w:jc w:val="both"/>
              <w:rPr>
                <w:rFonts w:ascii="Garamond" w:hAnsi="Garamond" w:cs="Arial"/>
                <w:b/>
                <w:sz w:val="22"/>
                <w:szCs w:val="22"/>
                <w:lang w:eastAsia="ar-SA"/>
              </w:rPr>
            </w:pPr>
            <w:r w:rsidRPr="00C40A8D">
              <w:rPr>
                <w:rFonts w:ascii="Garamond" w:hAnsi="Garamond" w:cs="Arial"/>
                <w:b/>
                <w:sz w:val="22"/>
                <w:szCs w:val="22"/>
                <w:lang w:eastAsia="ar-SA"/>
              </w:rPr>
              <w:t>Esperienza documentata nella gestione di servizi di cassa/tesoreria in enti pubblici nazionali</w:t>
            </w:r>
            <w:r w:rsidR="00C66D5D">
              <w:rPr>
                <w:rFonts w:ascii="Garamond" w:hAnsi="Garamond" w:cs="Arial"/>
                <w:b/>
                <w:sz w:val="22"/>
                <w:szCs w:val="22"/>
                <w:lang w:eastAsia="ar-SA"/>
              </w:rPr>
              <w:t xml:space="preserve"> e</w:t>
            </w:r>
            <w:r w:rsidRPr="00C40A8D">
              <w:rPr>
                <w:rFonts w:ascii="Garamond" w:hAnsi="Garamond" w:cs="Arial"/>
                <w:b/>
                <w:sz w:val="22"/>
                <w:szCs w:val="22"/>
                <w:lang w:eastAsia="ar-SA"/>
              </w:rPr>
              <w:t xml:space="preserve"> università statali italiane</w:t>
            </w:r>
          </w:p>
        </w:tc>
        <w:tc>
          <w:tcPr>
            <w:tcW w:w="1314" w:type="dxa"/>
            <w:tcBorders>
              <w:top w:val="single" w:sz="4" w:space="0" w:color="auto"/>
              <w:left w:val="single" w:sz="4" w:space="0" w:color="auto"/>
              <w:bottom w:val="single" w:sz="4" w:space="0" w:color="auto"/>
              <w:right w:val="single" w:sz="4" w:space="0" w:color="auto"/>
            </w:tcBorders>
            <w:vAlign w:val="center"/>
          </w:tcPr>
          <w:p w14:paraId="0AC37BF9"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3D052A5D" w14:textId="77777777" w:rsidTr="001F3C4F">
        <w:trPr>
          <w:trHeight w:val="505"/>
        </w:trPr>
        <w:tc>
          <w:tcPr>
            <w:tcW w:w="8638" w:type="dxa"/>
            <w:tcBorders>
              <w:top w:val="single" w:sz="4" w:space="0" w:color="auto"/>
              <w:left w:val="single" w:sz="4" w:space="0" w:color="auto"/>
              <w:bottom w:val="single" w:sz="4" w:space="0" w:color="auto"/>
              <w:right w:val="single" w:sz="4" w:space="0" w:color="auto"/>
            </w:tcBorders>
            <w:hideMark/>
          </w:tcPr>
          <w:p w14:paraId="34959244" w14:textId="77777777" w:rsidR="001A32BC" w:rsidRPr="001A32BC" w:rsidRDefault="000C242E" w:rsidP="001A32BC">
            <w:pPr>
              <w:numPr>
                <w:ilvl w:val="0"/>
                <w:numId w:val="2"/>
              </w:numPr>
              <w:suppressAutoHyphens/>
              <w:spacing w:after="0" w:line="240" w:lineRule="auto"/>
              <w:jc w:val="both"/>
              <w:rPr>
                <w:rFonts w:ascii="Garamond" w:hAnsi="Garamond" w:cs="Arial"/>
                <w:lang w:eastAsia="ar-SA"/>
              </w:rPr>
            </w:pPr>
            <w:r w:rsidRPr="00C40A8D">
              <w:rPr>
                <w:rFonts w:ascii="Garamond" w:hAnsi="Garamond" w:cs="Arial"/>
                <w:lang w:eastAsia="ar-SA"/>
              </w:rPr>
              <w:t>N. di contratti/convenzioni di Cassa/tesoreria con enti pubblici italiani nei 3 esercizi finanziari antecedenti alla pubblicazione del bando</w:t>
            </w:r>
            <w:r w:rsidR="001A32BC" w:rsidRPr="001A32BC">
              <w:rPr>
                <w:rFonts w:ascii="Garamond" w:hAnsi="Garamond" w:cs="Arial"/>
                <w:lang w:eastAsia="ar-SA"/>
              </w:rPr>
              <w:t xml:space="preserve"> (2018-2020).</w:t>
            </w:r>
          </w:p>
          <w:p w14:paraId="754E9304" w14:textId="60061927" w:rsidR="000C242E" w:rsidRPr="00C40A8D" w:rsidRDefault="001A32BC" w:rsidP="001A32BC">
            <w:pPr>
              <w:suppressAutoHyphens/>
              <w:spacing w:after="0" w:line="240" w:lineRule="auto"/>
              <w:ind w:left="360"/>
              <w:jc w:val="both"/>
              <w:rPr>
                <w:rFonts w:ascii="Garamond" w:hAnsi="Garamond" w:cs="Arial"/>
                <w:i/>
                <w:color w:val="00B050"/>
                <w:lang w:eastAsia="ar-SA"/>
              </w:rPr>
            </w:pPr>
            <w:r w:rsidRPr="001A32BC">
              <w:rPr>
                <w:rFonts w:ascii="Garamond" w:hAnsi="Garamond" w:cs="Arial"/>
                <w:lang w:eastAsia="ar-SA"/>
              </w:rPr>
              <w:t>Ai fini dell’att</w:t>
            </w:r>
            <w:r w:rsidR="00105906">
              <w:rPr>
                <w:rFonts w:ascii="Garamond" w:hAnsi="Garamond" w:cs="Arial"/>
                <w:lang w:eastAsia="ar-SA"/>
              </w:rPr>
              <w:t>ribuzione del punteggio, sarà considerato</w:t>
            </w:r>
            <w:r w:rsidRPr="001A32BC">
              <w:rPr>
                <w:rFonts w:ascii="Garamond" w:hAnsi="Garamond" w:cs="Arial"/>
                <w:lang w:eastAsia="ar-SA"/>
              </w:rPr>
              <w:t xml:space="preserve"> i</w:t>
            </w:r>
            <w:r w:rsidR="00105906">
              <w:rPr>
                <w:rFonts w:ascii="Garamond" w:hAnsi="Garamond" w:cs="Arial"/>
                <w:lang w:eastAsia="ar-SA"/>
              </w:rPr>
              <w:t>l numero dei contratti (maggiore</w:t>
            </w:r>
            <w:r w:rsidRPr="001A32BC">
              <w:rPr>
                <w:rFonts w:ascii="Garamond" w:hAnsi="Garamond" w:cs="Arial"/>
                <w:lang w:eastAsia="ar-SA"/>
              </w:rPr>
              <w:t xml:space="preserve"> di 1) sottoscritti con enti pubblici italiani</w:t>
            </w:r>
            <w:r>
              <w:rPr>
                <w:rFonts w:ascii="Garamond" w:hAnsi="Garamond" w:cs="Arial"/>
                <w:lang w:eastAsia="ar-SA"/>
              </w:rPr>
              <w:t>.</w:t>
            </w:r>
          </w:p>
        </w:tc>
        <w:tc>
          <w:tcPr>
            <w:tcW w:w="1314" w:type="dxa"/>
            <w:tcBorders>
              <w:top w:val="single" w:sz="4" w:space="0" w:color="auto"/>
              <w:left w:val="single" w:sz="4" w:space="0" w:color="auto"/>
              <w:bottom w:val="single" w:sz="4" w:space="0" w:color="auto"/>
              <w:right w:val="single" w:sz="4" w:space="0" w:color="auto"/>
            </w:tcBorders>
            <w:vAlign w:val="center"/>
          </w:tcPr>
          <w:p w14:paraId="626AF9FC"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lang w:eastAsia="ar-SA"/>
              </w:rPr>
            </w:pPr>
          </w:p>
        </w:tc>
      </w:tr>
      <w:tr w:rsidR="000C242E" w:rsidRPr="00C40A8D" w14:paraId="68A1306B" w14:textId="77777777" w:rsidTr="001F3C4F">
        <w:trPr>
          <w:trHeight w:val="951"/>
        </w:trPr>
        <w:tc>
          <w:tcPr>
            <w:tcW w:w="8638" w:type="dxa"/>
            <w:tcBorders>
              <w:top w:val="single" w:sz="4" w:space="0" w:color="auto"/>
              <w:left w:val="single" w:sz="4" w:space="0" w:color="auto"/>
              <w:bottom w:val="single" w:sz="4" w:space="0" w:color="BFBFBF"/>
              <w:right w:val="single" w:sz="4" w:space="0" w:color="auto"/>
            </w:tcBorders>
          </w:tcPr>
          <w:p w14:paraId="0BE58E74" w14:textId="31286837" w:rsidR="001A32BC" w:rsidRPr="001A32BC" w:rsidRDefault="000C242E" w:rsidP="001A32BC">
            <w:pPr>
              <w:numPr>
                <w:ilvl w:val="0"/>
                <w:numId w:val="2"/>
              </w:numPr>
              <w:suppressAutoHyphens/>
              <w:spacing w:after="0" w:line="240" w:lineRule="auto"/>
              <w:jc w:val="both"/>
              <w:rPr>
                <w:rFonts w:ascii="Garamond" w:hAnsi="Garamond" w:cs="Arial"/>
                <w:lang w:eastAsia="ar-SA"/>
              </w:rPr>
            </w:pPr>
            <w:r w:rsidRPr="00C40A8D">
              <w:rPr>
                <w:rFonts w:ascii="Garamond" w:hAnsi="Garamond" w:cs="Arial"/>
                <w:lang w:eastAsia="ar-SA"/>
              </w:rPr>
              <w:t>N. dei contratti/convenzioni di Cassa/Tesoreria con università statali tesoreria nei 3 esercizi finanziari antecedenti alla pubblicazione del bando</w:t>
            </w:r>
            <w:r w:rsidR="001A32BC">
              <w:rPr>
                <w:rFonts w:ascii="Garamond" w:hAnsi="Garamond" w:cs="Arial"/>
                <w:lang w:eastAsia="ar-SA"/>
              </w:rPr>
              <w:t xml:space="preserve"> </w:t>
            </w:r>
            <w:r w:rsidR="001A32BC" w:rsidRPr="001A32BC">
              <w:rPr>
                <w:rFonts w:ascii="Garamond" w:hAnsi="Garamond" w:cs="Arial"/>
                <w:lang w:eastAsia="ar-SA"/>
              </w:rPr>
              <w:t>(2018-2020).</w:t>
            </w:r>
          </w:p>
          <w:p w14:paraId="0A370842" w14:textId="24176574" w:rsidR="000C242E" w:rsidRPr="00C40A8D" w:rsidRDefault="001A32BC" w:rsidP="00105906">
            <w:pPr>
              <w:suppressAutoHyphens/>
              <w:spacing w:after="0" w:line="240" w:lineRule="auto"/>
              <w:ind w:left="360"/>
              <w:jc w:val="both"/>
              <w:rPr>
                <w:rFonts w:ascii="Garamond" w:hAnsi="Garamond" w:cs="Arial"/>
                <w:i/>
                <w:color w:val="00B050"/>
                <w:lang w:eastAsia="ar-SA"/>
              </w:rPr>
            </w:pPr>
            <w:r w:rsidRPr="001A32BC">
              <w:rPr>
                <w:rFonts w:ascii="Garamond" w:hAnsi="Garamond" w:cs="Arial"/>
                <w:lang w:eastAsia="ar-SA"/>
              </w:rPr>
              <w:t xml:space="preserve">Ai fini dell’attribuzione del punteggio, </w:t>
            </w:r>
            <w:r w:rsidR="00105906">
              <w:rPr>
                <w:rFonts w:ascii="Garamond" w:hAnsi="Garamond" w:cs="Arial"/>
                <w:lang w:eastAsia="ar-SA"/>
              </w:rPr>
              <w:t>sarà considerato</w:t>
            </w:r>
            <w:r w:rsidRPr="001A32BC">
              <w:rPr>
                <w:rFonts w:ascii="Garamond" w:hAnsi="Garamond" w:cs="Arial"/>
                <w:lang w:eastAsia="ar-SA"/>
              </w:rPr>
              <w:t xml:space="preserve"> i</w:t>
            </w:r>
            <w:r w:rsidR="00105906">
              <w:rPr>
                <w:rFonts w:ascii="Garamond" w:hAnsi="Garamond" w:cs="Arial"/>
                <w:lang w:eastAsia="ar-SA"/>
              </w:rPr>
              <w:t>l numero dei contratti (maggiore</w:t>
            </w:r>
            <w:r w:rsidRPr="001A32BC">
              <w:rPr>
                <w:rFonts w:ascii="Garamond" w:hAnsi="Garamond" w:cs="Arial"/>
                <w:lang w:eastAsia="ar-SA"/>
              </w:rPr>
              <w:t xml:space="preserve"> di 1) sottoscritti con </w:t>
            </w:r>
            <w:r>
              <w:rPr>
                <w:rFonts w:ascii="Garamond" w:hAnsi="Garamond" w:cs="Arial"/>
                <w:lang w:eastAsia="ar-SA"/>
              </w:rPr>
              <w:t>università statali.</w:t>
            </w:r>
          </w:p>
        </w:tc>
        <w:tc>
          <w:tcPr>
            <w:tcW w:w="1314" w:type="dxa"/>
            <w:tcBorders>
              <w:top w:val="single" w:sz="4" w:space="0" w:color="auto"/>
              <w:left w:val="single" w:sz="4" w:space="0" w:color="auto"/>
              <w:bottom w:val="single" w:sz="4" w:space="0" w:color="BFBFBF"/>
              <w:right w:val="single" w:sz="4" w:space="0" w:color="auto"/>
            </w:tcBorders>
            <w:vAlign w:val="center"/>
          </w:tcPr>
          <w:p w14:paraId="7C44709D"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lang w:eastAsia="ar-SA"/>
              </w:rPr>
            </w:pPr>
          </w:p>
        </w:tc>
      </w:tr>
      <w:tr w:rsidR="000C242E" w:rsidRPr="00C40A8D" w14:paraId="0BA17558" w14:textId="77777777" w:rsidTr="001F3C4F">
        <w:trPr>
          <w:trHeight w:val="846"/>
        </w:trPr>
        <w:tc>
          <w:tcPr>
            <w:tcW w:w="8638" w:type="dxa"/>
            <w:tcBorders>
              <w:top w:val="single" w:sz="4" w:space="0" w:color="auto"/>
              <w:left w:val="single" w:sz="4" w:space="0" w:color="auto"/>
              <w:bottom w:val="single" w:sz="4" w:space="0" w:color="auto"/>
              <w:right w:val="single" w:sz="4" w:space="0" w:color="auto"/>
            </w:tcBorders>
            <w:shd w:val="clear" w:color="auto" w:fill="F2F2F2"/>
          </w:tcPr>
          <w:p w14:paraId="0ACB5C9B" w14:textId="77777777" w:rsidR="000C242E" w:rsidRPr="00C40A8D" w:rsidRDefault="000C242E" w:rsidP="000C242E">
            <w:pPr>
              <w:pStyle w:val="Paragrafoelenco"/>
              <w:numPr>
                <w:ilvl w:val="0"/>
                <w:numId w:val="3"/>
              </w:numPr>
              <w:shd w:val="clear" w:color="auto" w:fill="F2F2F2"/>
              <w:suppressAutoHyphens/>
              <w:rPr>
                <w:rFonts w:ascii="Garamond" w:hAnsi="Garamond" w:cs="Arial"/>
                <w:b/>
                <w:sz w:val="22"/>
                <w:szCs w:val="22"/>
                <w:lang w:eastAsia="ar-SA"/>
              </w:rPr>
            </w:pPr>
            <w:r w:rsidRPr="00C40A8D">
              <w:rPr>
                <w:rFonts w:ascii="Garamond" w:hAnsi="Garamond" w:cs="Arial"/>
                <w:b/>
                <w:sz w:val="22"/>
                <w:szCs w:val="22"/>
                <w:lang w:eastAsia="ar-SA"/>
              </w:rPr>
              <w:t>Modalità tecnico organizzative di attivazione e gestione del servizio</w:t>
            </w:r>
          </w:p>
        </w:tc>
        <w:tc>
          <w:tcPr>
            <w:tcW w:w="1314" w:type="dxa"/>
            <w:tcBorders>
              <w:top w:val="single" w:sz="4" w:space="0" w:color="auto"/>
              <w:left w:val="single" w:sz="4" w:space="0" w:color="auto"/>
              <w:bottom w:val="single" w:sz="4" w:space="0" w:color="auto"/>
              <w:right w:val="single" w:sz="4" w:space="0" w:color="auto"/>
            </w:tcBorders>
            <w:vAlign w:val="center"/>
          </w:tcPr>
          <w:p w14:paraId="36AC50B8"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6EC3AF25" w14:textId="77777777" w:rsidTr="001F3C4F">
        <w:trPr>
          <w:trHeight w:val="559"/>
        </w:trPr>
        <w:tc>
          <w:tcPr>
            <w:tcW w:w="8638" w:type="dxa"/>
            <w:tcBorders>
              <w:top w:val="single" w:sz="4" w:space="0" w:color="auto"/>
              <w:left w:val="single" w:sz="4" w:space="0" w:color="auto"/>
              <w:bottom w:val="single" w:sz="4" w:space="0" w:color="auto"/>
              <w:right w:val="single" w:sz="4" w:space="0" w:color="auto"/>
            </w:tcBorders>
          </w:tcPr>
          <w:p w14:paraId="4C1F63EB" w14:textId="096F121D" w:rsidR="000C242E" w:rsidRPr="00C40A8D" w:rsidRDefault="000C242E" w:rsidP="00060C34">
            <w:pPr>
              <w:tabs>
                <w:tab w:val="left" w:pos="7513"/>
              </w:tabs>
              <w:suppressAutoHyphens/>
              <w:spacing w:after="0" w:line="240" w:lineRule="auto"/>
              <w:ind w:left="34" w:hanging="34"/>
              <w:jc w:val="both"/>
              <w:rPr>
                <w:rFonts w:ascii="Garamond" w:hAnsi="Garamond"/>
                <w:lang w:eastAsia="ar-SA"/>
              </w:rPr>
            </w:pPr>
            <w:r w:rsidRPr="00C40A8D">
              <w:rPr>
                <w:rFonts w:ascii="Garamond" w:hAnsi="Garamond"/>
                <w:lang w:eastAsia="ar-SA"/>
              </w:rPr>
              <w:t>1. Struttura organizzativa preposta all’espletamento del servizio, con indicazione delle figure profession</w:t>
            </w:r>
            <w:r w:rsidR="008C3545">
              <w:rPr>
                <w:rFonts w:ascii="Garamond" w:hAnsi="Garamond"/>
                <w:lang w:eastAsia="ar-SA"/>
              </w:rPr>
              <w:t>ali coinvolte (cfr. art. 7 c.</w:t>
            </w:r>
            <w:r w:rsidRPr="00C40A8D">
              <w:rPr>
                <w:rFonts w:ascii="Garamond" w:hAnsi="Garamond"/>
                <w:lang w:eastAsia="ar-SA"/>
              </w:rPr>
              <w:t>1 CSO)</w:t>
            </w:r>
          </w:p>
        </w:tc>
        <w:tc>
          <w:tcPr>
            <w:tcW w:w="1314" w:type="dxa"/>
            <w:tcBorders>
              <w:top w:val="single" w:sz="4" w:space="0" w:color="auto"/>
              <w:left w:val="single" w:sz="4" w:space="0" w:color="auto"/>
              <w:bottom w:val="single" w:sz="4" w:space="0" w:color="auto"/>
              <w:right w:val="single" w:sz="4" w:space="0" w:color="auto"/>
            </w:tcBorders>
            <w:vAlign w:val="center"/>
          </w:tcPr>
          <w:p w14:paraId="6B491BFD"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7D6F89D9" w14:textId="77777777" w:rsidTr="001F3C4F">
        <w:trPr>
          <w:trHeight w:val="742"/>
        </w:trPr>
        <w:tc>
          <w:tcPr>
            <w:tcW w:w="8638" w:type="dxa"/>
            <w:tcBorders>
              <w:top w:val="single" w:sz="4" w:space="0" w:color="auto"/>
              <w:left w:val="single" w:sz="4" w:space="0" w:color="auto"/>
              <w:bottom w:val="single" w:sz="4" w:space="0" w:color="auto"/>
              <w:right w:val="single" w:sz="4" w:space="0" w:color="auto"/>
            </w:tcBorders>
          </w:tcPr>
          <w:p w14:paraId="6423108E" w14:textId="23654AFC" w:rsidR="000C242E" w:rsidRPr="00C40A8D" w:rsidRDefault="000C242E" w:rsidP="00060C34">
            <w:pPr>
              <w:tabs>
                <w:tab w:val="left" w:pos="7513"/>
              </w:tabs>
              <w:suppressAutoHyphens/>
              <w:spacing w:after="0" w:line="240" w:lineRule="auto"/>
              <w:ind w:left="34" w:hanging="34"/>
              <w:rPr>
                <w:rFonts w:ascii="Garamond" w:hAnsi="Garamond"/>
                <w:iCs/>
                <w:lang w:eastAsia="ar-SA"/>
              </w:rPr>
            </w:pPr>
            <w:r w:rsidRPr="00C40A8D">
              <w:rPr>
                <w:rFonts w:ascii="Garamond" w:hAnsi="Garamond"/>
                <w:iCs/>
                <w:lang w:eastAsia="ar-SA"/>
              </w:rPr>
              <w:t>2. Organizzazione delle filiali in relazione alle priorità dei servizi oggetto del Capitolato</w:t>
            </w:r>
            <w:r w:rsidR="006428EF">
              <w:rPr>
                <w:rFonts w:ascii="Garamond" w:hAnsi="Garamond"/>
                <w:iCs/>
                <w:lang w:eastAsia="ar-SA"/>
              </w:rPr>
              <w:t xml:space="preserve"> Speciale d’Oneri</w:t>
            </w:r>
          </w:p>
        </w:tc>
        <w:tc>
          <w:tcPr>
            <w:tcW w:w="1314" w:type="dxa"/>
            <w:tcBorders>
              <w:top w:val="single" w:sz="4" w:space="0" w:color="auto"/>
              <w:left w:val="single" w:sz="4" w:space="0" w:color="auto"/>
              <w:bottom w:val="single" w:sz="4" w:space="0" w:color="auto"/>
              <w:right w:val="single" w:sz="4" w:space="0" w:color="auto"/>
            </w:tcBorders>
            <w:vAlign w:val="center"/>
          </w:tcPr>
          <w:p w14:paraId="303F0A01"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71111496" w14:textId="77777777" w:rsidTr="001F3C4F">
        <w:trPr>
          <w:trHeight w:val="846"/>
        </w:trPr>
        <w:tc>
          <w:tcPr>
            <w:tcW w:w="8638" w:type="dxa"/>
            <w:tcBorders>
              <w:top w:val="single" w:sz="4" w:space="0" w:color="auto"/>
              <w:left w:val="single" w:sz="4" w:space="0" w:color="auto"/>
              <w:bottom w:val="single" w:sz="4" w:space="0" w:color="auto"/>
              <w:right w:val="single" w:sz="4" w:space="0" w:color="auto"/>
            </w:tcBorders>
          </w:tcPr>
          <w:p w14:paraId="3B084098" w14:textId="77777777" w:rsidR="000C242E" w:rsidRPr="00C40A8D" w:rsidRDefault="000C242E" w:rsidP="00060C34">
            <w:pPr>
              <w:tabs>
                <w:tab w:val="left" w:pos="7513"/>
              </w:tabs>
              <w:suppressAutoHyphens/>
              <w:spacing w:after="0" w:line="240" w:lineRule="auto"/>
              <w:ind w:left="34" w:hanging="34"/>
              <w:jc w:val="both"/>
              <w:rPr>
                <w:rFonts w:ascii="Garamond" w:hAnsi="Garamond"/>
                <w:lang w:eastAsia="ar-SA"/>
              </w:rPr>
            </w:pPr>
            <w:r w:rsidRPr="00C40A8D">
              <w:rPr>
                <w:rFonts w:ascii="Garamond" w:hAnsi="Garamond"/>
                <w:lang w:eastAsia="ar-SA"/>
              </w:rPr>
              <w:t>3. Responsabile del servizio con specifica esperienza nella gestione di convenzioni di cassa/tesoreria (cfr. artt. 7 c.1 e 32 c.1 CSO)</w:t>
            </w:r>
          </w:p>
        </w:tc>
        <w:tc>
          <w:tcPr>
            <w:tcW w:w="1314" w:type="dxa"/>
            <w:tcBorders>
              <w:top w:val="single" w:sz="4" w:space="0" w:color="auto"/>
              <w:left w:val="single" w:sz="4" w:space="0" w:color="auto"/>
              <w:bottom w:val="single" w:sz="4" w:space="0" w:color="auto"/>
              <w:right w:val="single" w:sz="4" w:space="0" w:color="auto"/>
            </w:tcBorders>
            <w:vAlign w:val="center"/>
          </w:tcPr>
          <w:p w14:paraId="46A2DD50"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19D3E45E" w14:textId="77777777" w:rsidTr="001F3C4F">
        <w:trPr>
          <w:trHeight w:val="588"/>
        </w:trPr>
        <w:tc>
          <w:tcPr>
            <w:tcW w:w="8638" w:type="dxa"/>
            <w:tcBorders>
              <w:top w:val="single" w:sz="4" w:space="0" w:color="auto"/>
              <w:left w:val="single" w:sz="4" w:space="0" w:color="auto"/>
              <w:bottom w:val="single" w:sz="4" w:space="0" w:color="BFBFBF"/>
              <w:right w:val="single" w:sz="4" w:space="0" w:color="auto"/>
            </w:tcBorders>
            <w:shd w:val="clear" w:color="auto" w:fill="F2F2F2"/>
          </w:tcPr>
          <w:p w14:paraId="374FA61E" w14:textId="77777777" w:rsidR="000C242E" w:rsidRPr="00C40A8D" w:rsidRDefault="000C242E" w:rsidP="000C242E">
            <w:pPr>
              <w:pStyle w:val="Paragrafoelenco"/>
              <w:numPr>
                <w:ilvl w:val="0"/>
                <w:numId w:val="3"/>
              </w:numPr>
              <w:tabs>
                <w:tab w:val="left" w:pos="743"/>
              </w:tabs>
              <w:suppressAutoHyphens/>
              <w:jc w:val="both"/>
              <w:rPr>
                <w:rFonts w:ascii="Garamond" w:hAnsi="Garamond"/>
                <w:sz w:val="22"/>
                <w:szCs w:val="22"/>
                <w:lang w:eastAsia="ar-SA"/>
              </w:rPr>
            </w:pPr>
            <w:r w:rsidRPr="00C40A8D">
              <w:rPr>
                <w:rFonts w:ascii="Garamond" w:eastAsia="Calibri" w:hAnsi="Garamond" w:cstheme="minorBidi"/>
                <w:b/>
                <w:sz w:val="22"/>
                <w:szCs w:val="22"/>
                <w:lang w:eastAsia="en-US"/>
              </w:rPr>
              <w:t xml:space="preserve">Implementazione e innovazione dei servizi    </w:t>
            </w:r>
          </w:p>
        </w:tc>
        <w:tc>
          <w:tcPr>
            <w:tcW w:w="1314" w:type="dxa"/>
            <w:tcBorders>
              <w:top w:val="single" w:sz="4" w:space="0" w:color="auto"/>
              <w:left w:val="single" w:sz="4" w:space="0" w:color="auto"/>
              <w:bottom w:val="single" w:sz="4" w:space="0" w:color="BFBFBF"/>
              <w:right w:val="single" w:sz="4" w:space="0" w:color="auto"/>
            </w:tcBorders>
          </w:tcPr>
          <w:p w14:paraId="05A4AED5"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34D155DA" w14:textId="77777777" w:rsidTr="001F3C4F">
        <w:trPr>
          <w:trHeight w:val="865"/>
        </w:trPr>
        <w:tc>
          <w:tcPr>
            <w:tcW w:w="8638" w:type="dxa"/>
            <w:tcBorders>
              <w:top w:val="single" w:sz="4" w:space="0" w:color="auto"/>
              <w:left w:val="single" w:sz="4" w:space="0" w:color="auto"/>
              <w:bottom w:val="single" w:sz="4" w:space="0" w:color="auto"/>
              <w:right w:val="single" w:sz="4" w:space="0" w:color="auto"/>
            </w:tcBorders>
            <w:shd w:val="clear" w:color="auto" w:fill="auto"/>
          </w:tcPr>
          <w:p w14:paraId="70ECAC75" w14:textId="46510A9C" w:rsidR="000C242E" w:rsidRPr="00C40A8D" w:rsidRDefault="003701BC" w:rsidP="000C242E">
            <w:pPr>
              <w:pStyle w:val="Paragrafoelenco"/>
              <w:numPr>
                <w:ilvl w:val="0"/>
                <w:numId w:val="4"/>
              </w:numPr>
              <w:tabs>
                <w:tab w:val="left" w:pos="7513"/>
              </w:tabs>
              <w:suppressAutoHyphens/>
              <w:jc w:val="both"/>
              <w:rPr>
                <w:rFonts w:ascii="Garamond" w:hAnsi="Garamond"/>
                <w:sz w:val="22"/>
                <w:szCs w:val="22"/>
                <w:lang w:eastAsia="ar-SA"/>
              </w:rPr>
            </w:pPr>
            <w:r>
              <w:rPr>
                <w:rFonts w:ascii="Garamond" w:hAnsi="Garamond"/>
                <w:sz w:val="22"/>
                <w:szCs w:val="22"/>
                <w:lang w:eastAsia="ar-SA"/>
              </w:rPr>
              <w:t>M</w:t>
            </w:r>
            <w:r w:rsidR="000C242E" w:rsidRPr="00C40A8D">
              <w:rPr>
                <w:rFonts w:ascii="Garamond" w:hAnsi="Garamond"/>
                <w:sz w:val="22"/>
                <w:szCs w:val="22"/>
                <w:lang w:eastAsia="ar-SA"/>
              </w:rPr>
              <w:t>odalità tecniche, informatiche, di sicurezza e delle modalità gestionali con cui l’offerente si propone di adempiere ai commi 2, 4, 5, 8, 9, 10, 12 dell’art. 3 “Caratteristiche del Servizio” e dell’art. 20 “Collegamento informatico tra Istituto Cass</w:t>
            </w:r>
            <w:r>
              <w:rPr>
                <w:rFonts w:ascii="Garamond" w:hAnsi="Garamond"/>
                <w:sz w:val="22"/>
                <w:szCs w:val="22"/>
                <w:lang w:eastAsia="ar-SA"/>
              </w:rPr>
              <w:t>iere ed Amministrazione” del C</w:t>
            </w:r>
            <w:r w:rsidR="000C242E" w:rsidRPr="00C40A8D">
              <w:rPr>
                <w:rFonts w:ascii="Garamond" w:hAnsi="Garamond"/>
                <w:sz w:val="22"/>
                <w:szCs w:val="22"/>
                <w:lang w:eastAsia="ar-SA"/>
              </w:rPr>
              <w:t>apitolato</w:t>
            </w:r>
            <w:r>
              <w:rPr>
                <w:rFonts w:ascii="Garamond" w:hAnsi="Garamond"/>
                <w:sz w:val="22"/>
                <w:szCs w:val="22"/>
                <w:lang w:eastAsia="ar-SA"/>
              </w:rPr>
              <w:t xml:space="preserve"> Speciale d’Oneri.</w:t>
            </w:r>
            <w:r w:rsidR="000C242E" w:rsidRPr="00C40A8D">
              <w:rPr>
                <w:rFonts w:ascii="Garamond" w:hAnsi="Garamond"/>
                <w:sz w:val="22"/>
                <w:szCs w:val="22"/>
                <w:lang w:eastAsia="ar-SA"/>
              </w:rPr>
              <w:t xml:space="preserve"> </w:t>
            </w:r>
          </w:p>
        </w:tc>
        <w:tc>
          <w:tcPr>
            <w:tcW w:w="1314" w:type="dxa"/>
            <w:tcBorders>
              <w:top w:val="single" w:sz="4" w:space="0" w:color="auto"/>
              <w:left w:val="single" w:sz="4" w:space="0" w:color="auto"/>
              <w:bottom w:val="single" w:sz="4" w:space="0" w:color="auto"/>
              <w:right w:val="single" w:sz="4" w:space="0" w:color="auto"/>
            </w:tcBorders>
          </w:tcPr>
          <w:p w14:paraId="42A0FB31"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6E03219A" w14:textId="77777777" w:rsidTr="001F3C4F">
        <w:trPr>
          <w:trHeight w:val="588"/>
        </w:trPr>
        <w:tc>
          <w:tcPr>
            <w:tcW w:w="8638" w:type="dxa"/>
            <w:tcBorders>
              <w:top w:val="single" w:sz="4" w:space="0" w:color="auto"/>
              <w:left w:val="single" w:sz="4" w:space="0" w:color="auto"/>
              <w:bottom w:val="single" w:sz="4" w:space="0" w:color="BFBFBF"/>
              <w:right w:val="single" w:sz="4" w:space="0" w:color="auto"/>
            </w:tcBorders>
            <w:shd w:val="clear" w:color="auto" w:fill="auto"/>
          </w:tcPr>
          <w:p w14:paraId="5DD757DF" w14:textId="0FDAFBEF" w:rsidR="000C242E" w:rsidRPr="00C40A8D" w:rsidRDefault="003701BC" w:rsidP="000C242E">
            <w:pPr>
              <w:pStyle w:val="Paragrafoelenco"/>
              <w:numPr>
                <w:ilvl w:val="0"/>
                <w:numId w:val="4"/>
              </w:numPr>
              <w:tabs>
                <w:tab w:val="left" w:pos="7513"/>
              </w:tabs>
              <w:suppressAutoHyphens/>
              <w:jc w:val="both"/>
              <w:rPr>
                <w:rFonts w:ascii="Garamond" w:eastAsia="Calibri" w:hAnsi="Garamond"/>
                <w:b/>
                <w:sz w:val="22"/>
                <w:szCs w:val="22"/>
              </w:rPr>
            </w:pPr>
            <w:r>
              <w:rPr>
                <w:rFonts w:ascii="Garamond" w:hAnsi="Garamond"/>
                <w:sz w:val="22"/>
                <w:szCs w:val="22"/>
                <w:lang w:eastAsia="ar-SA"/>
              </w:rPr>
              <w:t>M</w:t>
            </w:r>
            <w:r w:rsidR="000C242E" w:rsidRPr="00C40A8D">
              <w:rPr>
                <w:rFonts w:ascii="Garamond" w:hAnsi="Garamond"/>
                <w:sz w:val="22"/>
                <w:szCs w:val="22"/>
                <w:lang w:eastAsia="ar-SA"/>
              </w:rPr>
              <w:t>odalità tecniche e informatiche e di sicurezza con cui l’offerente si propone di adempiere all’art. 4 del capitolato (“Modalità di svolgimento del Servizio”) e dell’allegato A1</w:t>
            </w:r>
            <w:r>
              <w:rPr>
                <w:rFonts w:ascii="Garamond" w:eastAsia="Calibri" w:hAnsi="Garamond"/>
                <w:b/>
                <w:sz w:val="22"/>
                <w:szCs w:val="22"/>
              </w:rPr>
              <w:t>.</w:t>
            </w:r>
            <w:r w:rsidR="000C242E" w:rsidRPr="00C40A8D">
              <w:rPr>
                <w:rFonts w:ascii="Garamond" w:eastAsia="Calibri" w:hAnsi="Garamond"/>
                <w:b/>
                <w:sz w:val="22"/>
                <w:szCs w:val="22"/>
              </w:rPr>
              <w:t xml:space="preserve">    </w:t>
            </w:r>
          </w:p>
        </w:tc>
        <w:tc>
          <w:tcPr>
            <w:tcW w:w="1314" w:type="dxa"/>
            <w:tcBorders>
              <w:top w:val="single" w:sz="4" w:space="0" w:color="auto"/>
              <w:left w:val="single" w:sz="4" w:space="0" w:color="auto"/>
              <w:bottom w:val="single" w:sz="4" w:space="0" w:color="BFBFBF"/>
              <w:right w:val="single" w:sz="4" w:space="0" w:color="auto"/>
            </w:tcBorders>
          </w:tcPr>
          <w:p w14:paraId="2952F163"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1E23CC20" w14:textId="77777777" w:rsidTr="001F3C4F">
        <w:trPr>
          <w:trHeight w:val="1666"/>
        </w:trPr>
        <w:tc>
          <w:tcPr>
            <w:tcW w:w="8638" w:type="dxa"/>
            <w:tcBorders>
              <w:top w:val="single" w:sz="4" w:space="0" w:color="auto"/>
              <w:left w:val="single" w:sz="4" w:space="0" w:color="auto"/>
              <w:bottom w:val="single" w:sz="4" w:space="0" w:color="BFBFBF"/>
              <w:right w:val="single" w:sz="4" w:space="0" w:color="auto"/>
            </w:tcBorders>
            <w:shd w:val="clear" w:color="auto" w:fill="auto"/>
          </w:tcPr>
          <w:p w14:paraId="092D0B75" w14:textId="3304894C" w:rsidR="000C242E" w:rsidRPr="00C40A8D" w:rsidRDefault="003701BC" w:rsidP="000C242E">
            <w:pPr>
              <w:pStyle w:val="Paragrafoelenco"/>
              <w:numPr>
                <w:ilvl w:val="0"/>
                <w:numId w:val="4"/>
              </w:numPr>
              <w:tabs>
                <w:tab w:val="left" w:pos="7513"/>
              </w:tabs>
              <w:suppressAutoHyphens/>
              <w:jc w:val="both"/>
              <w:rPr>
                <w:rFonts w:ascii="Garamond" w:hAnsi="Garamond"/>
                <w:sz w:val="22"/>
                <w:szCs w:val="22"/>
                <w:lang w:eastAsia="ar-SA"/>
              </w:rPr>
            </w:pPr>
            <w:r>
              <w:rPr>
                <w:rFonts w:ascii="Garamond" w:hAnsi="Garamond"/>
                <w:sz w:val="22"/>
                <w:szCs w:val="22"/>
                <w:lang w:eastAsia="ar-SA"/>
              </w:rPr>
              <w:lastRenderedPageBreak/>
              <w:t>M</w:t>
            </w:r>
            <w:r w:rsidR="000C242E" w:rsidRPr="00C40A8D">
              <w:rPr>
                <w:rFonts w:ascii="Garamond" w:hAnsi="Garamond"/>
                <w:sz w:val="22"/>
                <w:szCs w:val="22"/>
                <w:lang w:eastAsia="ar-SA"/>
              </w:rPr>
              <w:t xml:space="preserve">odalità tecniche, informatiche e di sicurezza con cui l’offerente si propone di adempiere i segg. articoli del CSO: </w:t>
            </w:r>
          </w:p>
          <w:p w14:paraId="201D3A62" w14:textId="77777777" w:rsidR="000C242E" w:rsidRPr="00C40A8D" w:rsidRDefault="000C242E" w:rsidP="00060C34">
            <w:pPr>
              <w:pStyle w:val="Paragrafoelenco"/>
              <w:tabs>
                <w:tab w:val="left" w:pos="7513"/>
              </w:tabs>
              <w:suppressAutoHyphens/>
              <w:ind w:left="360"/>
              <w:jc w:val="both"/>
              <w:rPr>
                <w:rFonts w:ascii="Garamond" w:hAnsi="Garamond"/>
                <w:sz w:val="22"/>
                <w:szCs w:val="22"/>
                <w:lang w:eastAsia="ar-SA"/>
              </w:rPr>
            </w:pPr>
            <w:r w:rsidRPr="00C40A8D">
              <w:rPr>
                <w:rFonts w:ascii="Garamond" w:hAnsi="Garamond"/>
                <w:sz w:val="22"/>
                <w:szCs w:val="22"/>
                <w:lang w:eastAsia="ar-SA"/>
              </w:rPr>
              <w:t xml:space="preserve">-art. 9 (“Obblighi e responsabilità dell’Istituto Cassiere”) </w:t>
            </w:r>
          </w:p>
          <w:p w14:paraId="1C5581E4" w14:textId="77777777" w:rsidR="000C242E" w:rsidRPr="00C40A8D" w:rsidRDefault="000C242E" w:rsidP="00060C34">
            <w:pPr>
              <w:pStyle w:val="Paragrafoelenco"/>
              <w:tabs>
                <w:tab w:val="left" w:pos="7513"/>
              </w:tabs>
              <w:suppressAutoHyphens/>
              <w:ind w:left="360"/>
              <w:jc w:val="both"/>
              <w:rPr>
                <w:rFonts w:ascii="Garamond" w:hAnsi="Garamond"/>
                <w:sz w:val="22"/>
                <w:szCs w:val="22"/>
                <w:lang w:eastAsia="ar-SA"/>
              </w:rPr>
            </w:pPr>
            <w:r w:rsidRPr="00C40A8D">
              <w:rPr>
                <w:rFonts w:ascii="Garamond" w:hAnsi="Garamond"/>
                <w:sz w:val="22"/>
                <w:szCs w:val="22"/>
                <w:lang w:eastAsia="ar-SA"/>
              </w:rPr>
              <w:t>-art. 12 (“Funzionalità e compatibilità del Servizio Ordinativo Informatico OPI”)</w:t>
            </w:r>
          </w:p>
          <w:p w14:paraId="1764DBD3" w14:textId="77777777" w:rsidR="000C242E" w:rsidRPr="00C40A8D" w:rsidRDefault="000C242E" w:rsidP="00060C34">
            <w:pPr>
              <w:pStyle w:val="Paragrafoelenco"/>
              <w:tabs>
                <w:tab w:val="left" w:pos="7513"/>
              </w:tabs>
              <w:suppressAutoHyphens/>
              <w:ind w:left="360"/>
              <w:jc w:val="both"/>
              <w:rPr>
                <w:rFonts w:ascii="Garamond" w:hAnsi="Garamond"/>
                <w:sz w:val="22"/>
                <w:szCs w:val="22"/>
                <w:lang w:eastAsia="ar-SA"/>
              </w:rPr>
            </w:pPr>
            <w:r w:rsidRPr="00C40A8D">
              <w:rPr>
                <w:rFonts w:ascii="Garamond" w:hAnsi="Garamond"/>
                <w:sz w:val="22"/>
                <w:szCs w:val="22"/>
                <w:lang w:eastAsia="ar-SA"/>
              </w:rPr>
              <w:t>-art. 14 (“Disciplina delle Entrate”)</w:t>
            </w:r>
          </w:p>
          <w:p w14:paraId="1351F8E2" w14:textId="77777777" w:rsidR="000C242E" w:rsidRPr="00C40A8D" w:rsidRDefault="000C242E" w:rsidP="00060C34">
            <w:pPr>
              <w:pStyle w:val="Paragrafoelenco"/>
              <w:tabs>
                <w:tab w:val="left" w:pos="7513"/>
              </w:tabs>
              <w:suppressAutoHyphens/>
              <w:ind w:left="360"/>
              <w:jc w:val="both"/>
              <w:rPr>
                <w:rFonts w:ascii="Garamond" w:eastAsia="Calibri" w:hAnsi="Garamond"/>
                <w:b/>
                <w:sz w:val="22"/>
                <w:szCs w:val="22"/>
              </w:rPr>
            </w:pPr>
            <w:r w:rsidRPr="00C40A8D">
              <w:rPr>
                <w:rFonts w:ascii="Garamond" w:hAnsi="Garamond"/>
                <w:sz w:val="22"/>
                <w:szCs w:val="22"/>
                <w:lang w:eastAsia="ar-SA"/>
              </w:rPr>
              <w:t xml:space="preserve">-art. 15 (“Disciplina delle Uscite”) </w:t>
            </w:r>
          </w:p>
        </w:tc>
        <w:tc>
          <w:tcPr>
            <w:tcW w:w="1314" w:type="dxa"/>
            <w:tcBorders>
              <w:top w:val="single" w:sz="4" w:space="0" w:color="auto"/>
              <w:left w:val="single" w:sz="4" w:space="0" w:color="auto"/>
              <w:bottom w:val="single" w:sz="4" w:space="0" w:color="BFBFBF"/>
              <w:right w:val="single" w:sz="4" w:space="0" w:color="auto"/>
            </w:tcBorders>
          </w:tcPr>
          <w:p w14:paraId="4AC5B7AA"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19047FD5" w14:textId="77777777" w:rsidTr="001F3C4F">
        <w:trPr>
          <w:trHeight w:val="1648"/>
        </w:trPr>
        <w:tc>
          <w:tcPr>
            <w:tcW w:w="8638" w:type="dxa"/>
            <w:tcBorders>
              <w:top w:val="single" w:sz="4" w:space="0" w:color="auto"/>
              <w:left w:val="single" w:sz="4" w:space="0" w:color="auto"/>
              <w:bottom w:val="single" w:sz="4" w:space="0" w:color="auto"/>
              <w:right w:val="single" w:sz="4" w:space="0" w:color="auto"/>
            </w:tcBorders>
            <w:shd w:val="clear" w:color="auto" w:fill="auto"/>
          </w:tcPr>
          <w:p w14:paraId="5E5AB985" w14:textId="1A5BBC89" w:rsidR="000C242E" w:rsidRPr="00C40A8D" w:rsidRDefault="003701BC" w:rsidP="000C242E">
            <w:pPr>
              <w:pStyle w:val="Paragrafoelenco"/>
              <w:numPr>
                <w:ilvl w:val="0"/>
                <w:numId w:val="4"/>
              </w:numPr>
              <w:tabs>
                <w:tab w:val="left" w:pos="7513"/>
              </w:tabs>
              <w:suppressAutoHyphens/>
              <w:jc w:val="both"/>
              <w:rPr>
                <w:rFonts w:ascii="Garamond" w:hAnsi="Garamond"/>
                <w:sz w:val="22"/>
                <w:szCs w:val="22"/>
                <w:lang w:eastAsia="ar-SA"/>
              </w:rPr>
            </w:pPr>
            <w:r>
              <w:rPr>
                <w:rFonts w:ascii="Garamond" w:hAnsi="Garamond"/>
                <w:sz w:val="22"/>
                <w:szCs w:val="22"/>
                <w:lang w:eastAsia="ar-SA"/>
              </w:rPr>
              <w:t>P</w:t>
            </w:r>
            <w:r w:rsidR="000C242E" w:rsidRPr="00C40A8D">
              <w:rPr>
                <w:rFonts w:ascii="Garamond" w:hAnsi="Garamond"/>
                <w:sz w:val="22"/>
                <w:szCs w:val="22"/>
                <w:lang w:eastAsia="ar-SA"/>
              </w:rPr>
              <w:t xml:space="preserve">roposte migliorative </w:t>
            </w:r>
            <w:r>
              <w:rPr>
                <w:rFonts w:ascii="Garamond" w:hAnsi="Garamond"/>
                <w:sz w:val="22"/>
                <w:szCs w:val="22"/>
                <w:lang w:eastAsia="ar-SA"/>
              </w:rPr>
              <w:t>rispetto a quanto indicato nel C</w:t>
            </w:r>
            <w:r w:rsidR="000C242E" w:rsidRPr="00C40A8D">
              <w:rPr>
                <w:rFonts w:ascii="Garamond" w:hAnsi="Garamond"/>
                <w:sz w:val="22"/>
                <w:szCs w:val="22"/>
                <w:lang w:eastAsia="ar-SA"/>
              </w:rPr>
              <w:t>apitolato</w:t>
            </w:r>
            <w:r>
              <w:rPr>
                <w:rFonts w:ascii="Garamond" w:hAnsi="Garamond"/>
                <w:sz w:val="22"/>
                <w:szCs w:val="22"/>
                <w:lang w:eastAsia="ar-SA"/>
              </w:rPr>
              <w:t xml:space="preserve"> Speciale d’Oneri, quali a titolo esemplificativo e</w:t>
            </w:r>
            <w:r w:rsidR="000C242E" w:rsidRPr="00C40A8D">
              <w:rPr>
                <w:rFonts w:ascii="Garamond" w:hAnsi="Garamond"/>
                <w:sz w:val="22"/>
                <w:szCs w:val="22"/>
                <w:lang w:eastAsia="ar-SA"/>
              </w:rPr>
              <w:t xml:space="preserve"> non esaustivo: </w:t>
            </w:r>
          </w:p>
          <w:p w14:paraId="598C119C" w14:textId="77777777" w:rsidR="000C242E" w:rsidRPr="00C40A8D" w:rsidRDefault="000C242E" w:rsidP="00060C34">
            <w:pPr>
              <w:pStyle w:val="Paragrafoelenco"/>
              <w:tabs>
                <w:tab w:val="left" w:pos="7513"/>
              </w:tabs>
              <w:suppressAutoHyphens/>
              <w:ind w:left="360"/>
              <w:jc w:val="both"/>
              <w:rPr>
                <w:rFonts w:ascii="Garamond" w:hAnsi="Garamond"/>
                <w:sz w:val="22"/>
                <w:szCs w:val="22"/>
                <w:lang w:eastAsia="ar-SA"/>
              </w:rPr>
            </w:pPr>
            <w:r w:rsidRPr="00C40A8D">
              <w:rPr>
                <w:rFonts w:ascii="Garamond" w:hAnsi="Garamond"/>
                <w:sz w:val="22"/>
                <w:szCs w:val="22"/>
                <w:lang w:eastAsia="ar-SA"/>
              </w:rPr>
              <w:t xml:space="preserve">- rilascio fideiussioni con firma digitale; </w:t>
            </w:r>
          </w:p>
          <w:p w14:paraId="6D8C75E5" w14:textId="77777777" w:rsidR="000C242E" w:rsidRPr="00C40A8D" w:rsidRDefault="000C242E" w:rsidP="00060C34">
            <w:pPr>
              <w:pStyle w:val="Paragrafoelenco"/>
              <w:tabs>
                <w:tab w:val="left" w:pos="7513"/>
              </w:tabs>
              <w:suppressAutoHyphens/>
              <w:ind w:left="360"/>
              <w:jc w:val="both"/>
              <w:rPr>
                <w:rFonts w:ascii="Garamond" w:hAnsi="Garamond"/>
                <w:sz w:val="22"/>
                <w:szCs w:val="22"/>
                <w:lang w:eastAsia="ar-SA"/>
              </w:rPr>
            </w:pPr>
            <w:r w:rsidRPr="00C40A8D">
              <w:rPr>
                <w:rFonts w:ascii="Garamond" w:hAnsi="Garamond"/>
                <w:sz w:val="22"/>
                <w:szCs w:val="22"/>
                <w:lang w:eastAsia="ar-SA"/>
              </w:rPr>
              <w:t xml:space="preserve">- servizi innovativi mediante remote-banking o APP; </w:t>
            </w:r>
          </w:p>
          <w:p w14:paraId="4093C56E" w14:textId="4C5C9CF9" w:rsidR="000C242E" w:rsidRPr="00C40A8D" w:rsidRDefault="000C242E" w:rsidP="00060C34">
            <w:pPr>
              <w:pStyle w:val="Paragrafoelenco"/>
              <w:tabs>
                <w:tab w:val="left" w:pos="7513"/>
              </w:tabs>
              <w:suppressAutoHyphens/>
              <w:ind w:left="360"/>
              <w:jc w:val="both"/>
              <w:rPr>
                <w:rFonts w:ascii="Garamond" w:hAnsi="Garamond"/>
                <w:sz w:val="22"/>
                <w:szCs w:val="22"/>
                <w:lang w:eastAsia="ar-SA"/>
              </w:rPr>
            </w:pPr>
            <w:r w:rsidRPr="00C40A8D">
              <w:rPr>
                <w:rFonts w:ascii="Garamond" w:hAnsi="Garamond"/>
                <w:sz w:val="22"/>
                <w:szCs w:val="22"/>
                <w:lang w:eastAsia="ar-SA"/>
              </w:rPr>
              <w:t xml:space="preserve">- ulteriori servizi e innovazioni rispetto a quanto indicato nel capitolato relativamente al “Nodo dei Pagamenti – </w:t>
            </w:r>
            <w:proofErr w:type="spellStart"/>
            <w:r w:rsidRPr="00C40A8D">
              <w:rPr>
                <w:rFonts w:ascii="Garamond" w:hAnsi="Garamond"/>
                <w:sz w:val="22"/>
                <w:szCs w:val="22"/>
                <w:lang w:eastAsia="ar-SA"/>
              </w:rPr>
              <w:t>PagoPA</w:t>
            </w:r>
            <w:proofErr w:type="spellEnd"/>
            <w:r w:rsidR="003701BC">
              <w:rPr>
                <w:rFonts w:ascii="Garamond" w:hAnsi="Garamond"/>
                <w:sz w:val="22"/>
                <w:szCs w:val="22"/>
                <w:lang w:eastAsia="ar-SA"/>
              </w:rPr>
              <w:t>.</w:t>
            </w:r>
          </w:p>
        </w:tc>
        <w:tc>
          <w:tcPr>
            <w:tcW w:w="1314" w:type="dxa"/>
            <w:tcBorders>
              <w:top w:val="single" w:sz="4" w:space="0" w:color="auto"/>
              <w:left w:val="single" w:sz="4" w:space="0" w:color="auto"/>
              <w:bottom w:val="single" w:sz="4" w:space="0" w:color="auto"/>
              <w:right w:val="single" w:sz="4" w:space="0" w:color="auto"/>
            </w:tcBorders>
          </w:tcPr>
          <w:p w14:paraId="0009F4E4"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3D91BDDC" w14:textId="77777777" w:rsidTr="001F3C4F">
        <w:trPr>
          <w:trHeight w:val="1073"/>
        </w:trPr>
        <w:tc>
          <w:tcPr>
            <w:tcW w:w="8638" w:type="dxa"/>
            <w:tcBorders>
              <w:top w:val="single" w:sz="4" w:space="0" w:color="auto"/>
              <w:left w:val="single" w:sz="4" w:space="0" w:color="auto"/>
              <w:bottom w:val="single" w:sz="4" w:space="0" w:color="auto"/>
              <w:right w:val="single" w:sz="4" w:space="0" w:color="auto"/>
            </w:tcBorders>
            <w:shd w:val="clear" w:color="auto" w:fill="F2F2F2"/>
          </w:tcPr>
          <w:p w14:paraId="5CA8E047" w14:textId="77777777" w:rsidR="000C242E" w:rsidRPr="00C40A8D" w:rsidRDefault="000C242E" w:rsidP="000C242E">
            <w:pPr>
              <w:pStyle w:val="Paragrafoelenco"/>
              <w:numPr>
                <w:ilvl w:val="0"/>
                <w:numId w:val="3"/>
              </w:numPr>
              <w:tabs>
                <w:tab w:val="left" w:pos="743"/>
              </w:tabs>
              <w:suppressAutoHyphens/>
              <w:jc w:val="both"/>
              <w:rPr>
                <w:rFonts w:ascii="Garamond" w:hAnsi="Garamond"/>
                <w:i/>
                <w:sz w:val="22"/>
                <w:szCs w:val="22"/>
                <w:lang w:eastAsia="ar-SA"/>
              </w:rPr>
            </w:pPr>
            <w:r w:rsidRPr="00C40A8D">
              <w:rPr>
                <w:rFonts w:ascii="Garamond" w:eastAsia="Calibri" w:hAnsi="Garamond" w:cstheme="minorBidi"/>
                <w:b/>
                <w:sz w:val="22"/>
                <w:szCs w:val="22"/>
                <w:lang w:eastAsia="en-US"/>
              </w:rPr>
              <w:t xml:space="preserve">Filiali, punti operativi, postazioni e Sportelli ATM </w:t>
            </w:r>
          </w:p>
          <w:p w14:paraId="55B0D961" w14:textId="7CF08BA3" w:rsidR="000C242E" w:rsidRPr="00C40A8D" w:rsidRDefault="000C242E" w:rsidP="00060C34">
            <w:pPr>
              <w:pStyle w:val="Paragrafoelenco"/>
              <w:tabs>
                <w:tab w:val="left" w:pos="7513"/>
              </w:tabs>
              <w:suppressAutoHyphens/>
              <w:ind w:left="360"/>
              <w:jc w:val="both"/>
              <w:rPr>
                <w:rFonts w:ascii="Garamond" w:hAnsi="Garamond"/>
                <w:sz w:val="22"/>
                <w:szCs w:val="22"/>
                <w:lang w:eastAsia="ar-SA"/>
              </w:rPr>
            </w:pPr>
            <w:r w:rsidRPr="00C40A8D">
              <w:rPr>
                <w:rFonts w:ascii="Garamond" w:hAnsi="Garamond"/>
                <w:sz w:val="22"/>
                <w:szCs w:val="22"/>
                <w:lang w:eastAsia="ar-SA"/>
              </w:rPr>
              <w:t>Quantità dei punti operativi, come, filiali/sportelli, sportelli ATM dedicati anche al servizio di cassa nelle aree di insediamento del Politecnico di cui all’Allegato A2 e all’ar</w:t>
            </w:r>
            <w:r w:rsidR="000423DC">
              <w:rPr>
                <w:rFonts w:ascii="Garamond" w:hAnsi="Garamond"/>
                <w:sz w:val="22"/>
                <w:szCs w:val="22"/>
                <w:lang w:eastAsia="ar-SA"/>
              </w:rPr>
              <w:t>t. 6, commi 1 e 2 del Capitolato Speciale d’Oneri.</w:t>
            </w:r>
            <w:r w:rsidRPr="00C40A8D">
              <w:rPr>
                <w:rFonts w:ascii="Garamond" w:hAnsi="Garamond"/>
                <w:sz w:val="22"/>
                <w:szCs w:val="22"/>
                <w:lang w:eastAsia="ar-SA"/>
              </w:rPr>
              <w:t xml:space="preserve"> </w:t>
            </w:r>
          </w:p>
          <w:p w14:paraId="7C9040D7" w14:textId="77777777" w:rsidR="000C242E" w:rsidRPr="00C40A8D" w:rsidRDefault="000C242E" w:rsidP="00060C34">
            <w:pPr>
              <w:pStyle w:val="Paragrafoelenco"/>
              <w:tabs>
                <w:tab w:val="left" w:pos="743"/>
              </w:tabs>
              <w:suppressAutoHyphens/>
              <w:ind w:left="360"/>
              <w:jc w:val="both"/>
              <w:rPr>
                <w:rFonts w:ascii="Garamond" w:hAnsi="Garamond"/>
                <w:i/>
                <w:sz w:val="22"/>
                <w:szCs w:val="22"/>
                <w:lang w:eastAsia="ar-SA"/>
              </w:rPr>
            </w:pPr>
          </w:p>
        </w:tc>
        <w:tc>
          <w:tcPr>
            <w:tcW w:w="1314" w:type="dxa"/>
            <w:tcBorders>
              <w:top w:val="single" w:sz="4" w:space="0" w:color="auto"/>
              <w:left w:val="single" w:sz="4" w:space="0" w:color="auto"/>
              <w:bottom w:val="single" w:sz="4" w:space="0" w:color="auto"/>
              <w:right w:val="single" w:sz="4" w:space="0" w:color="auto"/>
            </w:tcBorders>
          </w:tcPr>
          <w:p w14:paraId="451479CE"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63AF73C6" w14:textId="77777777" w:rsidTr="001F3C4F">
        <w:trPr>
          <w:trHeight w:val="442"/>
        </w:trPr>
        <w:tc>
          <w:tcPr>
            <w:tcW w:w="8638" w:type="dxa"/>
            <w:tcBorders>
              <w:top w:val="single" w:sz="4" w:space="0" w:color="auto"/>
              <w:left w:val="single" w:sz="4" w:space="0" w:color="auto"/>
              <w:bottom w:val="single" w:sz="4" w:space="0" w:color="auto"/>
              <w:right w:val="single" w:sz="4" w:space="0" w:color="auto"/>
            </w:tcBorders>
            <w:shd w:val="clear" w:color="auto" w:fill="auto"/>
          </w:tcPr>
          <w:p w14:paraId="1B2D7B96" w14:textId="604ADF80" w:rsidR="000C242E" w:rsidRPr="00C40A8D" w:rsidRDefault="000C242E" w:rsidP="000C242E">
            <w:pPr>
              <w:pStyle w:val="Paragrafoelenco"/>
              <w:numPr>
                <w:ilvl w:val="0"/>
                <w:numId w:val="5"/>
              </w:numPr>
              <w:tabs>
                <w:tab w:val="left" w:pos="7513"/>
              </w:tabs>
              <w:suppressAutoHyphens/>
              <w:jc w:val="both"/>
              <w:rPr>
                <w:rFonts w:ascii="Garamond" w:hAnsi="Garamond"/>
                <w:sz w:val="22"/>
                <w:szCs w:val="22"/>
                <w:lang w:eastAsia="ar-SA"/>
              </w:rPr>
            </w:pPr>
            <w:r w:rsidRPr="00C40A8D">
              <w:rPr>
                <w:rFonts w:ascii="Garamond" w:hAnsi="Garamond"/>
                <w:sz w:val="22"/>
                <w:szCs w:val="22"/>
                <w:lang w:eastAsia="ar-SA"/>
              </w:rPr>
              <w:t>Filiali entro 2 km dalle sedi di Torino dell’Ateneo (C.so Duca,</w:t>
            </w:r>
            <w:r w:rsidR="00E20DFD">
              <w:rPr>
                <w:rFonts w:ascii="Garamond" w:hAnsi="Garamond"/>
                <w:sz w:val="22"/>
                <w:szCs w:val="22"/>
                <w:lang w:eastAsia="ar-SA"/>
              </w:rPr>
              <w:t xml:space="preserve"> Valentino, Lingotto, Mirafiori)</w:t>
            </w:r>
          </w:p>
        </w:tc>
        <w:tc>
          <w:tcPr>
            <w:tcW w:w="1314" w:type="dxa"/>
            <w:tcBorders>
              <w:top w:val="single" w:sz="4" w:space="0" w:color="auto"/>
              <w:left w:val="single" w:sz="4" w:space="0" w:color="auto"/>
              <w:bottom w:val="single" w:sz="4" w:space="0" w:color="auto"/>
              <w:right w:val="single" w:sz="4" w:space="0" w:color="auto"/>
            </w:tcBorders>
          </w:tcPr>
          <w:p w14:paraId="3AEAFB17"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3C35B6FD" w14:textId="77777777" w:rsidTr="001F3C4F">
        <w:trPr>
          <w:trHeight w:val="917"/>
        </w:trPr>
        <w:tc>
          <w:tcPr>
            <w:tcW w:w="8638" w:type="dxa"/>
            <w:tcBorders>
              <w:top w:val="single" w:sz="4" w:space="0" w:color="auto"/>
              <w:left w:val="single" w:sz="4" w:space="0" w:color="auto"/>
              <w:bottom w:val="single" w:sz="4" w:space="0" w:color="auto"/>
              <w:right w:val="single" w:sz="4" w:space="0" w:color="auto"/>
            </w:tcBorders>
            <w:shd w:val="clear" w:color="auto" w:fill="auto"/>
          </w:tcPr>
          <w:p w14:paraId="5CF96BA3" w14:textId="77777777" w:rsidR="000C242E" w:rsidRPr="00C40A8D" w:rsidRDefault="000C242E" w:rsidP="000C242E">
            <w:pPr>
              <w:pStyle w:val="Paragrafoelenco"/>
              <w:numPr>
                <w:ilvl w:val="0"/>
                <w:numId w:val="5"/>
              </w:numPr>
              <w:tabs>
                <w:tab w:val="left" w:pos="7513"/>
              </w:tabs>
              <w:suppressAutoHyphens/>
              <w:jc w:val="both"/>
              <w:rPr>
                <w:rFonts w:ascii="Garamond" w:hAnsi="Garamond"/>
                <w:sz w:val="22"/>
                <w:szCs w:val="22"/>
                <w:lang w:eastAsia="ar-SA"/>
              </w:rPr>
            </w:pPr>
            <w:r w:rsidRPr="00C40A8D">
              <w:rPr>
                <w:rFonts w:ascii="Garamond" w:hAnsi="Garamond"/>
                <w:sz w:val="22"/>
                <w:szCs w:val="22"/>
                <w:lang w:eastAsia="ar-SA"/>
              </w:rPr>
              <w:t xml:space="preserve">Filiali nelle altre zone della Provincia di Torino (Zona 5 Pinerolese, Zona 6 Valli di Susa e </w:t>
            </w:r>
            <w:proofErr w:type="spellStart"/>
            <w:r w:rsidRPr="00C40A8D">
              <w:rPr>
                <w:rFonts w:ascii="Garamond" w:hAnsi="Garamond"/>
                <w:sz w:val="22"/>
                <w:szCs w:val="22"/>
                <w:lang w:eastAsia="ar-SA"/>
              </w:rPr>
              <w:t>Sangone</w:t>
            </w:r>
            <w:proofErr w:type="spellEnd"/>
            <w:r w:rsidRPr="00C40A8D">
              <w:rPr>
                <w:rFonts w:ascii="Garamond" w:hAnsi="Garamond"/>
                <w:sz w:val="22"/>
                <w:szCs w:val="22"/>
                <w:lang w:eastAsia="ar-SA"/>
              </w:rPr>
              <w:t>, Zona 7 Ciriacese-Valli di Lanzo, Zona 8 Canavese occidentale, Zona 9 Eporediese, Zona 10 Chivassese, Zona 11 Chierese-Carmagnolese)</w:t>
            </w:r>
          </w:p>
          <w:p w14:paraId="67A33DF4" w14:textId="77777777" w:rsidR="000C242E" w:rsidRPr="00C40A8D" w:rsidRDefault="000C242E" w:rsidP="00060C34">
            <w:pPr>
              <w:pStyle w:val="Paragrafoelenco"/>
              <w:tabs>
                <w:tab w:val="left" w:pos="7513"/>
              </w:tabs>
              <w:suppressAutoHyphens/>
              <w:ind w:left="360"/>
              <w:jc w:val="both"/>
              <w:rPr>
                <w:rFonts w:ascii="Garamond" w:hAnsi="Garamond"/>
                <w:sz w:val="22"/>
                <w:szCs w:val="22"/>
                <w:lang w:eastAsia="ar-SA"/>
              </w:rPr>
            </w:pPr>
          </w:p>
        </w:tc>
        <w:tc>
          <w:tcPr>
            <w:tcW w:w="1314" w:type="dxa"/>
            <w:tcBorders>
              <w:top w:val="single" w:sz="4" w:space="0" w:color="auto"/>
              <w:left w:val="single" w:sz="4" w:space="0" w:color="auto"/>
              <w:bottom w:val="single" w:sz="4" w:space="0" w:color="auto"/>
              <w:right w:val="single" w:sz="4" w:space="0" w:color="auto"/>
            </w:tcBorders>
          </w:tcPr>
          <w:p w14:paraId="7C8CAF80"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4249D745" w14:textId="77777777" w:rsidTr="001F3C4F">
        <w:trPr>
          <w:trHeight w:val="691"/>
        </w:trPr>
        <w:tc>
          <w:tcPr>
            <w:tcW w:w="8638" w:type="dxa"/>
            <w:tcBorders>
              <w:top w:val="single" w:sz="4" w:space="0" w:color="auto"/>
              <w:left w:val="single" w:sz="4" w:space="0" w:color="auto"/>
              <w:bottom w:val="single" w:sz="4" w:space="0" w:color="auto"/>
              <w:right w:val="single" w:sz="4" w:space="0" w:color="auto"/>
            </w:tcBorders>
            <w:shd w:val="clear" w:color="auto" w:fill="auto"/>
          </w:tcPr>
          <w:p w14:paraId="73B9DA8E" w14:textId="77777777" w:rsidR="000C242E" w:rsidRPr="00C40A8D" w:rsidRDefault="000C242E" w:rsidP="000C242E">
            <w:pPr>
              <w:pStyle w:val="Paragrafoelenco"/>
              <w:numPr>
                <w:ilvl w:val="0"/>
                <w:numId w:val="5"/>
              </w:numPr>
              <w:tabs>
                <w:tab w:val="left" w:pos="7513"/>
              </w:tabs>
              <w:suppressAutoHyphens/>
              <w:jc w:val="both"/>
              <w:rPr>
                <w:rFonts w:ascii="Garamond" w:hAnsi="Garamond"/>
                <w:sz w:val="22"/>
                <w:szCs w:val="22"/>
                <w:lang w:eastAsia="ar-SA"/>
              </w:rPr>
            </w:pPr>
            <w:r w:rsidRPr="00C40A8D">
              <w:rPr>
                <w:rFonts w:ascii="Garamond" w:hAnsi="Garamond"/>
                <w:sz w:val="22"/>
                <w:szCs w:val="22"/>
                <w:lang w:eastAsia="ar-SA"/>
              </w:rPr>
              <w:t xml:space="preserve">Filiali/Sportelli ad una distanza inferiore ai 5 km, dalle sedi del Politecnico di Torino situate nei comuni di Mondovì (CN), Alessandria (AL), </w:t>
            </w:r>
            <w:proofErr w:type="spellStart"/>
            <w:r w:rsidRPr="00C40A8D">
              <w:rPr>
                <w:rFonts w:ascii="Garamond" w:hAnsi="Garamond"/>
                <w:sz w:val="22"/>
                <w:szCs w:val="22"/>
                <w:lang w:eastAsia="ar-SA"/>
              </w:rPr>
              <w:t>Verrès</w:t>
            </w:r>
            <w:proofErr w:type="spellEnd"/>
            <w:r w:rsidRPr="00C40A8D">
              <w:rPr>
                <w:rFonts w:ascii="Garamond" w:hAnsi="Garamond"/>
                <w:sz w:val="22"/>
                <w:szCs w:val="22"/>
                <w:lang w:eastAsia="ar-SA"/>
              </w:rPr>
              <w:t xml:space="preserve"> (AO) Biella (BI)</w:t>
            </w:r>
          </w:p>
        </w:tc>
        <w:tc>
          <w:tcPr>
            <w:tcW w:w="1314" w:type="dxa"/>
            <w:tcBorders>
              <w:top w:val="single" w:sz="4" w:space="0" w:color="auto"/>
              <w:left w:val="single" w:sz="4" w:space="0" w:color="auto"/>
              <w:bottom w:val="single" w:sz="4" w:space="0" w:color="auto"/>
              <w:right w:val="single" w:sz="4" w:space="0" w:color="auto"/>
            </w:tcBorders>
          </w:tcPr>
          <w:p w14:paraId="3C0260D6"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12FA7D25" w14:textId="77777777" w:rsidTr="001F3C4F">
        <w:trPr>
          <w:trHeight w:val="615"/>
        </w:trPr>
        <w:tc>
          <w:tcPr>
            <w:tcW w:w="8638" w:type="dxa"/>
            <w:tcBorders>
              <w:top w:val="single" w:sz="4" w:space="0" w:color="auto"/>
              <w:left w:val="single" w:sz="4" w:space="0" w:color="auto"/>
              <w:bottom w:val="single" w:sz="4" w:space="0" w:color="auto"/>
              <w:right w:val="single" w:sz="4" w:space="0" w:color="auto"/>
            </w:tcBorders>
            <w:shd w:val="clear" w:color="auto" w:fill="auto"/>
          </w:tcPr>
          <w:p w14:paraId="25D450A1" w14:textId="77777777" w:rsidR="000C242E" w:rsidRPr="00C40A8D" w:rsidRDefault="000C242E" w:rsidP="000C242E">
            <w:pPr>
              <w:pStyle w:val="Paragrafoelenco"/>
              <w:numPr>
                <w:ilvl w:val="0"/>
                <w:numId w:val="5"/>
              </w:numPr>
              <w:tabs>
                <w:tab w:val="left" w:pos="7513"/>
              </w:tabs>
              <w:suppressAutoHyphens/>
              <w:jc w:val="both"/>
              <w:rPr>
                <w:rFonts w:ascii="Garamond" w:hAnsi="Garamond"/>
                <w:sz w:val="22"/>
                <w:szCs w:val="22"/>
                <w:lang w:eastAsia="ar-SA"/>
              </w:rPr>
            </w:pPr>
            <w:r w:rsidRPr="00C40A8D">
              <w:rPr>
                <w:rFonts w:ascii="Garamond" w:hAnsi="Garamond"/>
                <w:sz w:val="22"/>
                <w:szCs w:val="22"/>
                <w:lang w:eastAsia="ar-SA"/>
              </w:rPr>
              <w:t>Filiali/ Sportelli presso altri capoluoghi di Provincia del Piemonte (esclusi TO, AL, BI)</w:t>
            </w:r>
          </w:p>
        </w:tc>
        <w:tc>
          <w:tcPr>
            <w:tcW w:w="1314" w:type="dxa"/>
            <w:tcBorders>
              <w:top w:val="single" w:sz="4" w:space="0" w:color="auto"/>
              <w:left w:val="single" w:sz="4" w:space="0" w:color="auto"/>
              <w:bottom w:val="single" w:sz="4" w:space="0" w:color="auto"/>
              <w:right w:val="single" w:sz="4" w:space="0" w:color="auto"/>
            </w:tcBorders>
          </w:tcPr>
          <w:p w14:paraId="5D25ECCE"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r w:rsidR="000C242E" w:rsidRPr="00C40A8D" w14:paraId="1B7F11E5" w14:textId="77777777" w:rsidTr="001F3C4F">
        <w:trPr>
          <w:trHeight w:val="861"/>
        </w:trPr>
        <w:tc>
          <w:tcPr>
            <w:tcW w:w="863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9FB3E8" w14:textId="77777777" w:rsidR="000C242E" w:rsidRPr="00C40A8D" w:rsidRDefault="000C242E" w:rsidP="000C242E">
            <w:pPr>
              <w:pStyle w:val="Paragrafoelenco"/>
              <w:numPr>
                <w:ilvl w:val="0"/>
                <w:numId w:val="3"/>
              </w:numPr>
              <w:tabs>
                <w:tab w:val="left" w:pos="743"/>
              </w:tabs>
              <w:suppressAutoHyphens/>
              <w:jc w:val="both"/>
              <w:rPr>
                <w:rFonts w:ascii="Garamond" w:eastAsia="Calibri" w:hAnsi="Garamond"/>
                <w:sz w:val="22"/>
                <w:szCs w:val="22"/>
              </w:rPr>
            </w:pPr>
            <w:r w:rsidRPr="00C40A8D">
              <w:rPr>
                <w:rFonts w:ascii="Garamond" w:eastAsia="Calibri" w:hAnsi="Garamond" w:cstheme="minorBidi"/>
                <w:b/>
                <w:sz w:val="22"/>
                <w:szCs w:val="22"/>
                <w:lang w:eastAsia="en-US"/>
              </w:rPr>
              <w:t>Tempi di risposta per soluzione problematiche (non oltre 3 giorni)</w:t>
            </w:r>
            <w:r w:rsidRPr="00C40A8D">
              <w:rPr>
                <w:rFonts w:ascii="Garamond" w:eastAsia="Calibri" w:hAnsi="Garamond"/>
                <w:sz w:val="22"/>
                <w:szCs w:val="22"/>
              </w:rPr>
              <w:t xml:space="preserve">  </w:t>
            </w:r>
          </w:p>
        </w:tc>
        <w:tc>
          <w:tcPr>
            <w:tcW w:w="1314" w:type="dxa"/>
            <w:tcBorders>
              <w:top w:val="single" w:sz="4" w:space="0" w:color="auto"/>
              <w:left w:val="single" w:sz="4" w:space="0" w:color="auto"/>
              <w:bottom w:val="single" w:sz="4" w:space="0" w:color="auto"/>
              <w:right w:val="single" w:sz="4" w:space="0" w:color="auto"/>
            </w:tcBorders>
            <w:vAlign w:val="center"/>
          </w:tcPr>
          <w:p w14:paraId="3FC59F5A" w14:textId="77777777" w:rsidR="000C242E" w:rsidRPr="00C40A8D" w:rsidRDefault="000C242E" w:rsidP="00060C34">
            <w:pPr>
              <w:tabs>
                <w:tab w:val="left" w:pos="-1134"/>
                <w:tab w:val="left" w:pos="-993"/>
                <w:tab w:val="left" w:pos="284"/>
              </w:tabs>
              <w:suppressAutoHyphens/>
              <w:spacing w:after="0" w:line="240" w:lineRule="auto"/>
              <w:jc w:val="center"/>
              <w:rPr>
                <w:rFonts w:ascii="Garamond" w:hAnsi="Garamond" w:cs="Arial"/>
                <w:b/>
                <w:lang w:eastAsia="ar-SA"/>
              </w:rPr>
            </w:pPr>
          </w:p>
        </w:tc>
      </w:tr>
    </w:tbl>
    <w:p w14:paraId="74DE3BA1" w14:textId="77777777" w:rsidR="000C242E" w:rsidRPr="00C40A8D" w:rsidRDefault="000C242E" w:rsidP="000C242E">
      <w:pPr>
        <w:spacing w:after="0" w:line="240" w:lineRule="auto"/>
        <w:rPr>
          <w:rFonts w:ascii="Garamond" w:hAnsi="Garamond"/>
        </w:rPr>
      </w:pPr>
    </w:p>
    <w:p w14:paraId="0CA28D99" w14:textId="77777777" w:rsidR="000C242E" w:rsidRPr="00C40A8D" w:rsidRDefault="000C242E" w:rsidP="000C242E">
      <w:pPr>
        <w:pStyle w:val="Titolo6"/>
        <w:ind w:left="360" w:right="98"/>
        <w:rPr>
          <w:rFonts w:ascii="Garamond" w:hAnsi="Garamond"/>
          <w:sz w:val="22"/>
          <w:szCs w:val="22"/>
        </w:rPr>
      </w:pPr>
      <w:r w:rsidRPr="00C40A8D">
        <w:rPr>
          <w:rFonts w:ascii="Garamond" w:hAnsi="Garamond"/>
          <w:sz w:val="22"/>
          <w:szCs w:val="22"/>
          <w:u w:val="single"/>
        </w:rPr>
        <w:t xml:space="preserve">Relazione tecnica relativa ai criteri tecnico organizzativi  </w:t>
      </w:r>
    </w:p>
    <w:p w14:paraId="531ECEAB" w14:textId="77777777" w:rsidR="000C242E" w:rsidRPr="00A1411A" w:rsidRDefault="000C242E" w:rsidP="000C242E">
      <w:pPr>
        <w:spacing w:after="0" w:line="240" w:lineRule="auto"/>
        <w:jc w:val="both"/>
        <w:rPr>
          <w:rFonts w:ascii="Garamond" w:hAnsi="Garamond"/>
        </w:rPr>
      </w:pPr>
      <w:r w:rsidRPr="00C40A8D">
        <w:rPr>
          <w:rFonts w:ascii="Garamond" w:hAnsi="Garamond"/>
        </w:rPr>
        <w:t>(</w:t>
      </w:r>
      <w:r w:rsidRPr="00C40A8D">
        <w:rPr>
          <w:rFonts w:ascii="Garamond" w:hAnsi="Garamond"/>
          <w:i/>
        </w:rPr>
        <w:t xml:space="preserve">L’Istituto Cassiere sviluppa in dettaglio tutti gli elementi tecnico organizzativi indicati ai punti A, B, C, D ed E descritti al Titolo V del Capitolato speciale d’oneri cui si rinvia, rispettando le prescrizioni contenute nel Disciplinare di gara, in </w:t>
      </w:r>
      <w:r w:rsidRPr="00A1411A">
        <w:rPr>
          <w:rFonts w:ascii="Garamond" w:hAnsi="Garamond"/>
          <w:i/>
        </w:rPr>
        <w:t>particolare all’articolo 15 - “Busta tecnica virtuale – contenuto</w:t>
      </w:r>
      <w:r w:rsidRPr="00A1411A">
        <w:rPr>
          <w:rFonts w:ascii="Garamond" w:hAnsi="Garamond"/>
        </w:rPr>
        <w:t>”)</w:t>
      </w:r>
    </w:p>
    <w:p w14:paraId="5FEB56C7" w14:textId="77777777" w:rsidR="00DE151A" w:rsidRDefault="00DE151A" w:rsidP="001615E5"/>
    <w:p w14:paraId="626CF645" w14:textId="3965BFC3" w:rsidR="000C242E" w:rsidRPr="006B39AD" w:rsidRDefault="001615E5" w:rsidP="001615E5">
      <w:pPr>
        <w:pStyle w:val="Paragrafoelenco"/>
        <w:numPr>
          <w:ilvl w:val="0"/>
          <w:numId w:val="8"/>
        </w:numPr>
        <w:ind w:left="357"/>
        <w:jc w:val="both"/>
        <w:rPr>
          <w:rFonts w:ascii="Garamond" w:hAnsi="Garamond"/>
          <w:b/>
          <w:sz w:val="22"/>
          <w:szCs w:val="22"/>
        </w:rPr>
      </w:pPr>
      <w:r w:rsidRPr="006B39AD">
        <w:rPr>
          <w:rFonts w:ascii="Garamond" w:hAnsi="Garamond"/>
          <w:b/>
          <w:sz w:val="22"/>
          <w:szCs w:val="22"/>
        </w:rPr>
        <w:t xml:space="preserve">Esperienza documentata nella gestione di servizi di cassa/tesoreria in enti pubblici nazionali </w:t>
      </w:r>
      <w:r w:rsidR="00C66D5D" w:rsidRPr="006B39AD">
        <w:rPr>
          <w:rFonts w:ascii="Garamond" w:hAnsi="Garamond"/>
          <w:b/>
          <w:sz w:val="22"/>
          <w:szCs w:val="22"/>
        </w:rPr>
        <w:t xml:space="preserve">e </w:t>
      </w:r>
      <w:r w:rsidRPr="006B39AD">
        <w:rPr>
          <w:rFonts w:ascii="Garamond" w:hAnsi="Garamond"/>
          <w:b/>
          <w:sz w:val="22"/>
          <w:szCs w:val="22"/>
        </w:rPr>
        <w:t>università statali italiane</w:t>
      </w:r>
    </w:p>
    <w:p w14:paraId="61CE9F5F" w14:textId="378679DA" w:rsidR="001615E5" w:rsidRPr="001615E5" w:rsidRDefault="004314CC" w:rsidP="004314CC">
      <w:pPr>
        <w:pStyle w:val="Paragrafoelenco"/>
        <w:ind w:left="357"/>
        <w:jc w:val="both"/>
        <w:rPr>
          <w:rFonts w:ascii="Garamond" w:hAnsi="Garamond"/>
          <w:sz w:val="22"/>
          <w:szCs w:val="22"/>
        </w:rPr>
      </w:pPr>
      <w:r>
        <w:rPr>
          <w:rFonts w:ascii="Garamond" w:hAnsi="Garamond"/>
          <w:sz w:val="22"/>
          <w:szCs w:val="22"/>
        </w:rPr>
        <w:t>A1</w:t>
      </w:r>
      <w:r w:rsidR="001615E5"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r w:rsidRPr="004314CC">
        <w:rPr>
          <w:rFonts w:ascii="Garamond" w:hAnsi="Garamond"/>
          <w:sz w:val="22"/>
          <w:szCs w:val="22"/>
        </w:rPr>
        <w:t xml:space="preserve"> </w:t>
      </w:r>
      <w:r>
        <w:rPr>
          <w:rFonts w:ascii="Garamond" w:hAnsi="Garamond"/>
          <w:sz w:val="22"/>
          <w:szCs w:val="22"/>
        </w:rPr>
        <w:t>A2</w:t>
      </w:r>
      <w:r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14:paraId="2A1CD34F" w14:textId="2DDA126F" w:rsidR="001615E5" w:rsidRPr="001615E5" w:rsidRDefault="001615E5" w:rsidP="001615E5">
      <w:pPr>
        <w:pStyle w:val="Paragrafoelenco"/>
        <w:ind w:left="357"/>
        <w:jc w:val="both"/>
        <w:rPr>
          <w:rFonts w:ascii="Garamond" w:hAnsi="Garamond"/>
          <w:sz w:val="22"/>
          <w:szCs w:val="22"/>
        </w:rPr>
      </w:pPr>
    </w:p>
    <w:p w14:paraId="2201FCE0" w14:textId="2B0EBB2E" w:rsidR="001615E5" w:rsidRPr="006B39AD" w:rsidRDefault="001615E5" w:rsidP="001615E5">
      <w:pPr>
        <w:pStyle w:val="Paragrafoelenco"/>
        <w:numPr>
          <w:ilvl w:val="0"/>
          <w:numId w:val="8"/>
        </w:numPr>
        <w:ind w:left="357"/>
        <w:jc w:val="both"/>
        <w:rPr>
          <w:rFonts w:ascii="Garamond" w:hAnsi="Garamond"/>
          <w:b/>
          <w:sz w:val="22"/>
          <w:szCs w:val="22"/>
        </w:rPr>
      </w:pPr>
      <w:r w:rsidRPr="006B39AD">
        <w:rPr>
          <w:rFonts w:ascii="Garamond" w:hAnsi="Garamond"/>
          <w:b/>
          <w:sz w:val="22"/>
          <w:szCs w:val="22"/>
        </w:rPr>
        <w:t>Modalità tecnico organizzative di attivazione e gestione del servizio</w:t>
      </w:r>
    </w:p>
    <w:p w14:paraId="754CDA91" w14:textId="3D6E7758" w:rsidR="006B39AD" w:rsidRPr="001615E5" w:rsidRDefault="006B39AD" w:rsidP="006B39AD">
      <w:pPr>
        <w:pStyle w:val="Paragrafoelenco"/>
        <w:ind w:left="360"/>
        <w:jc w:val="both"/>
        <w:rPr>
          <w:rFonts w:ascii="Garamond" w:hAnsi="Garamond"/>
          <w:sz w:val="22"/>
          <w:szCs w:val="22"/>
        </w:rPr>
      </w:pPr>
      <w:r>
        <w:rPr>
          <w:rFonts w:ascii="Garamond" w:hAnsi="Garamond"/>
          <w:sz w:val="22"/>
          <w:szCs w:val="22"/>
        </w:rPr>
        <w:t>B1</w:t>
      </w:r>
      <w:r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r w:rsidRPr="004314CC">
        <w:rPr>
          <w:rFonts w:ascii="Garamond" w:hAnsi="Garamond"/>
          <w:sz w:val="22"/>
          <w:szCs w:val="22"/>
        </w:rPr>
        <w:t xml:space="preserve"> </w:t>
      </w:r>
      <w:r>
        <w:rPr>
          <w:rFonts w:ascii="Garamond" w:hAnsi="Garamond"/>
          <w:sz w:val="22"/>
          <w:szCs w:val="22"/>
        </w:rPr>
        <w:t>B2</w:t>
      </w:r>
      <w:r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14:paraId="6F2FAD3F" w14:textId="083031F8" w:rsidR="001615E5" w:rsidRPr="001615E5" w:rsidRDefault="006B39AD" w:rsidP="006B39AD">
      <w:pPr>
        <w:spacing w:after="0" w:line="240" w:lineRule="auto"/>
        <w:ind w:left="357"/>
        <w:jc w:val="both"/>
        <w:rPr>
          <w:rFonts w:ascii="Garamond" w:hAnsi="Garamond"/>
        </w:rPr>
      </w:pPr>
      <w:r>
        <w:rPr>
          <w:rFonts w:ascii="Garamond" w:hAnsi="Garamond"/>
        </w:rPr>
        <w:lastRenderedPageBreak/>
        <w:t>B</w:t>
      </w:r>
      <w:r w:rsidR="004E22C8">
        <w:rPr>
          <w:rFonts w:ascii="Garamond" w:hAnsi="Garamond"/>
        </w:rPr>
        <w:t>3</w:t>
      </w:r>
      <w:r w:rsidRPr="001615E5">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w:t>
      </w:r>
    </w:p>
    <w:p w14:paraId="4A18552C" w14:textId="7E20B17E" w:rsidR="001615E5" w:rsidRPr="006B39AD" w:rsidRDefault="001615E5" w:rsidP="001615E5">
      <w:pPr>
        <w:pStyle w:val="Paragrafoelenco"/>
        <w:numPr>
          <w:ilvl w:val="0"/>
          <w:numId w:val="8"/>
        </w:numPr>
        <w:ind w:left="357"/>
        <w:jc w:val="both"/>
        <w:rPr>
          <w:rFonts w:ascii="Garamond" w:hAnsi="Garamond"/>
          <w:b/>
          <w:sz w:val="22"/>
          <w:szCs w:val="22"/>
        </w:rPr>
      </w:pPr>
      <w:r w:rsidRPr="006B39AD">
        <w:rPr>
          <w:rFonts w:ascii="Garamond" w:hAnsi="Garamond"/>
          <w:b/>
          <w:sz w:val="22"/>
          <w:szCs w:val="22"/>
        </w:rPr>
        <w:t xml:space="preserve">Implementazione e innovazione dei servizi    </w:t>
      </w:r>
    </w:p>
    <w:p w14:paraId="2DB5389E" w14:textId="31EA654C" w:rsidR="006B39AD" w:rsidRPr="001615E5" w:rsidRDefault="006B39AD" w:rsidP="006B39AD">
      <w:pPr>
        <w:pStyle w:val="Paragrafoelenco"/>
        <w:ind w:left="360"/>
        <w:jc w:val="both"/>
        <w:rPr>
          <w:rFonts w:ascii="Garamond" w:hAnsi="Garamond"/>
          <w:sz w:val="22"/>
          <w:szCs w:val="22"/>
        </w:rPr>
      </w:pPr>
      <w:r>
        <w:rPr>
          <w:rFonts w:ascii="Garamond" w:hAnsi="Garamond"/>
          <w:sz w:val="22"/>
          <w:szCs w:val="22"/>
        </w:rPr>
        <w:t>C1</w:t>
      </w:r>
      <w:r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r w:rsidRPr="004314CC">
        <w:rPr>
          <w:rFonts w:ascii="Garamond" w:hAnsi="Garamond"/>
          <w:sz w:val="22"/>
          <w:szCs w:val="22"/>
        </w:rPr>
        <w:t xml:space="preserve"> </w:t>
      </w:r>
      <w:r>
        <w:rPr>
          <w:rFonts w:ascii="Garamond" w:hAnsi="Garamond"/>
          <w:sz w:val="22"/>
          <w:szCs w:val="22"/>
        </w:rPr>
        <w:t>C2</w:t>
      </w:r>
      <w:r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w:t>
      </w:r>
    </w:p>
    <w:p w14:paraId="1C49DCB1" w14:textId="4F60D26F" w:rsidR="006B39AD" w:rsidRPr="006B39AD" w:rsidRDefault="006B39AD" w:rsidP="006B39AD">
      <w:pPr>
        <w:pStyle w:val="Paragrafoelenco"/>
        <w:ind w:left="360"/>
        <w:jc w:val="both"/>
        <w:rPr>
          <w:rFonts w:ascii="Garamond" w:hAnsi="Garamond"/>
        </w:rPr>
      </w:pPr>
      <w:r>
        <w:rPr>
          <w:rFonts w:ascii="Garamond" w:hAnsi="Garamond"/>
        </w:rPr>
        <w:t>C3</w:t>
      </w:r>
      <w:r w:rsidRPr="006B39AD">
        <w:rPr>
          <w:rFonts w:ascii="Garamond" w:hAnsi="Garamond"/>
        </w:rPr>
        <w:t xml:space="preserve">_____________________________________________________________________________________________________________________________________________________________________________________________________________________________________ </w:t>
      </w:r>
      <w:r>
        <w:rPr>
          <w:rFonts w:ascii="Garamond" w:hAnsi="Garamond"/>
        </w:rPr>
        <w:t>C4</w:t>
      </w:r>
      <w:r w:rsidRPr="006B39AD">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w:t>
      </w:r>
    </w:p>
    <w:p w14:paraId="081045B4" w14:textId="77777777" w:rsidR="001615E5" w:rsidRPr="001615E5" w:rsidRDefault="001615E5" w:rsidP="001615E5">
      <w:pPr>
        <w:spacing w:after="0" w:line="240" w:lineRule="auto"/>
        <w:jc w:val="both"/>
        <w:rPr>
          <w:rFonts w:ascii="Garamond" w:hAnsi="Garamond"/>
        </w:rPr>
      </w:pPr>
    </w:p>
    <w:p w14:paraId="79192AD6" w14:textId="77777777" w:rsidR="001615E5" w:rsidRPr="0018196E" w:rsidRDefault="001615E5" w:rsidP="001615E5">
      <w:pPr>
        <w:pStyle w:val="Paragrafoelenco"/>
        <w:numPr>
          <w:ilvl w:val="0"/>
          <w:numId w:val="8"/>
        </w:numPr>
        <w:jc w:val="both"/>
        <w:rPr>
          <w:rFonts w:ascii="Garamond" w:hAnsi="Garamond"/>
          <w:b/>
          <w:sz w:val="22"/>
          <w:szCs w:val="22"/>
        </w:rPr>
      </w:pPr>
      <w:r w:rsidRPr="0018196E">
        <w:rPr>
          <w:rFonts w:ascii="Garamond" w:hAnsi="Garamond"/>
          <w:b/>
          <w:sz w:val="22"/>
          <w:szCs w:val="22"/>
        </w:rPr>
        <w:t xml:space="preserve">Filiali, punti operativi, postazioni e Sportelli ATM </w:t>
      </w:r>
    </w:p>
    <w:p w14:paraId="55FD18E6" w14:textId="65E497CB" w:rsidR="0018196E" w:rsidRPr="001615E5" w:rsidRDefault="0018196E" w:rsidP="0018196E">
      <w:pPr>
        <w:pStyle w:val="Paragrafoelenco"/>
        <w:ind w:left="360"/>
        <w:jc w:val="both"/>
        <w:rPr>
          <w:rFonts w:ascii="Garamond" w:hAnsi="Garamond"/>
          <w:sz w:val="22"/>
          <w:szCs w:val="22"/>
        </w:rPr>
      </w:pPr>
      <w:r>
        <w:rPr>
          <w:rFonts w:ascii="Garamond" w:hAnsi="Garamond"/>
          <w:sz w:val="22"/>
          <w:szCs w:val="22"/>
        </w:rPr>
        <w:t>D1</w:t>
      </w:r>
      <w:r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w:t>
      </w:r>
      <w:r>
        <w:rPr>
          <w:rFonts w:ascii="Garamond" w:hAnsi="Garamond"/>
          <w:sz w:val="22"/>
          <w:szCs w:val="22"/>
        </w:rPr>
        <w:t>_______________________________D2</w:t>
      </w:r>
      <w:r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w:t>
      </w:r>
      <w:r>
        <w:rPr>
          <w:rFonts w:ascii="Garamond" w:hAnsi="Garamond"/>
          <w:sz w:val="22"/>
          <w:szCs w:val="22"/>
        </w:rPr>
        <w:t>_______________________________</w:t>
      </w:r>
    </w:p>
    <w:p w14:paraId="69B103B2" w14:textId="1FE74C6F" w:rsidR="0018196E" w:rsidRDefault="0018196E" w:rsidP="0018196E">
      <w:pPr>
        <w:pStyle w:val="Paragrafoelenco"/>
        <w:ind w:left="360"/>
        <w:jc w:val="both"/>
        <w:rPr>
          <w:rFonts w:ascii="Garamond" w:hAnsi="Garamond"/>
        </w:rPr>
      </w:pPr>
      <w:r>
        <w:rPr>
          <w:rFonts w:ascii="Garamond" w:hAnsi="Garamond"/>
        </w:rPr>
        <w:t>D3</w:t>
      </w:r>
      <w:r w:rsidRPr="006B39AD">
        <w:rPr>
          <w:rFonts w:ascii="Garamond" w:hAnsi="Garamond"/>
        </w:rPr>
        <w:t>_____________________________________________________________________________________________________________________________________________________________________________________________________</w:t>
      </w:r>
      <w:r>
        <w:rPr>
          <w:rFonts w:ascii="Garamond" w:hAnsi="Garamond"/>
        </w:rPr>
        <w:t>_______________________________D4</w:t>
      </w:r>
      <w:r w:rsidRPr="006B39AD">
        <w:rPr>
          <w:rFonts w:ascii="Garamond" w:hAnsi="Garamond"/>
        </w:rPr>
        <w:t>_____________________________________________________________________________________________________________________________________________________________________________________________________</w:t>
      </w:r>
      <w:r>
        <w:rPr>
          <w:rFonts w:ascii="Garamond" w:hAnsi="Garamond"/>
        </w:rPr>
        <w:t>_______________________________</w:t>
      </w:r>
    </w:p>
    <w:p w14:paraId="076C0F40" w14:textId="77777777" w:rsidR="0018196E" w:rsidRPr="006B39AD" w:rsidRDefault="0018196E" w:rsidP="0018196E">
      <w:pPr>
        <w:pStyle w:val="Paragrafoelenco"/>
        <w:ind w:left="360"/>
        <w:jc w:val="both"/>
        <w:rPr>
          <w:rFonts w:ascii="Garamond" w:hAnsi="Garamond"/>
        </w:rPr>
      </w:pPr>
    </w:p>
    <w:p w14:paraId="6D314851" w14:textId="1D3283C0" w:rsidR="001615E5" w:rsidRPr="0018196E" w:rsidRDefault="001615E5" w:rsidP="001615E5">
      <w:pPr>
        <w:pStyle w:val="Paragrafoelenco"/>
        <w:numPr>
          <w:ilvl w:val="0"/>
          <w:numId w:val="8"/>
        </w:numPr>
        <w:jc w:val="both"/>
        <w:rPr>
          <w:rFonts w:ascii="Garamond" w:hAnsi="Garamond"/>
          <w:b/>
          <w:sz w:val="22"/>
          <w:szCs w:val="22"/>
        </w:rPr>
      </w:pPr>
      <w:r w:rsidRPr="0018196E">
        <w:rPr>
          <w:rFonts w:ascii="Garamond" w:hAnsi="Garamond"/>
          <w:b/>
          <w:sz w:val="22"/>
          <w:szCs w:val="22"/>
        </w:rPr>
        <w:t xml:space="preserve">Tempi di risposta per soluzione problematiche (non oltre 3 giorni)  </w:t>
      </w:r>
    </w:p>
    <w:p w14:paraId="187050BB" w14:textId="77777777" w:rsidR="001615E5" w:rsidRPr="001615E5" w:rsidRDefault="001615E5" w:rsidP="001615E5">
      <w:pPr>
        <w:pStyle w:val="Paragrafoelenco"/>
        <w:ind w:left="360"/>
        <w:jc w:val="both"/>
        <w:rPr>
          <w:rFonts w:ascii="Garamond" w:hAnsi="Garamond"/>
          <w:sz w:val="22"/>
          <w:szCs w:val="22"/>
        </w:rPr>
      </w:pPr>
      <w:r w:rsidRPr="001615E5">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35F523EF" w14:textId="6E79C789" w:rsidR="001615E5" w:rsidRDefault="001615E5" w:rsidP="001615E5">
      <w:pPr>
        <w:rPr>
          <w:rFonts w:ascii="Garamond" w:hAnsi="Garamond"/>
        </w:rPr>
      </w:pPr>
    </w:p>
    <w:p w14:paraId="7BB5BAD3" w14:textId="77777777" w:rsidR="00554BA3" w:rsidRDefault="00554BA3" w:rsidP="00554BA3">
      <w:pPr>
        <w:spacing w:after="0" w:line="360" w:lineRule="auto"/>
        <w:rPr>
          <w:rFonts w:ascii="Garamond" w:eastAsia="Times New Roman" w:hAnsi="Garamond" w:cs="Arial"/>
          <w:spacing w:val="20"/>
          <w:lang w:eastAsia="it-IT"/>
        </w:rPr>
      </w:pPr>
    </w:p>
    <w:p w14:paraId="6DA64489" w14:textId="2BF89D42" w:rsidR="00554BA3" w:rsidRDefault="00554BA3" w:rsidP="00554BA3">
      <w:pPr>
        <w:spacing w:after="0" w:line="360" w:lineRule="auto"/>
        <w:rPr>
          <w:rFonts w:ascii="Garamond" w:eastAsia="Times New Roman" w:hAnsi="Garamond" w:cs="Arial"/>
          <w:spacing w:val="20"/>
          <w:lang w:eastAsia="it-IT"/>
        </w:rPr>
      </w:pPr>
      <w:r w:rsidRPr="00FE3754">
        <w:rPr>
          <w:rFonts w:ascii="Garamond" w:eastAsia="Times New Roman" w:hAnsi="Garamond" w:cs="Arial"/>
          <w:spacing w:val="20"/>
          <w:lang w:eastAsia="it-IT"/>
        </w:rPr>
        <w:t>Il Legale Rappresentante/Titolare dell’Impresa</w:t>
      </w:r>
    </w:p>
    <w:p w14:paraId="1EA039BA" w14:textId="77777777" w:rsidR="00554BA3" w:rsidRPr="00485B47" w:rsidRDefault="00554BA3" w:rsidP="00554BA3">
      <w:pPr>
        <w:spacing w:after="0" w:line="360" w:lineRule="auto"/>
        <w:rPr>
          <w:rFonts w:ascii="Garamond" w:eastAsia="Times New Roman" w:hAnsi="Garamond" w:cs="Arial"/>
          <w:lang w:eastAsia="it-IT"/>
        </w:rPr>
      </w:pPr>
      <w:r w:rsidRPr="00485B47">
        <w:rPr>
          <w:rFonts w:ascii="Garamond" w:eastAsia="Times New Roman" w:hAnsi="Garamond" w:cs="Arial"/>
          <w:lang w:eastAsia="it-IT"/>
        </w:rPr>
        <w:t>Documento sottoscritto digitalmente da ______________</w:t>
      </w:r>
    </w:p>
    <w:p w14:paraId="03D35516" w14:textId="77777777" w:rsidR="00554BA3" w:rsidRDefault="00554BA3" w:rsidP="00554BA3">
      <w:pPr>
        <w:widowControl w:val="0"/>
        <w:tabs>
          <w:tab w:val="right" w:leader="underscore" w:pos="9600"/>
        </w:tabs>
        <w:spacing w:after="0" w:line="360" w:lineRule="auto"/>
        <w:rPr>
          <w:rFonts w:ascii="Garamond" w:eastAsia="Calibri" w:hAnsi="Garamond" w:cs="Times New Roman"/>
          <w:lang w:eastAsia="it-IT"/>
        </w:rPr>
      </w:pPr>
    </w:p>
    <w:p w14:paraId="5D73EF87" w14:textId="77777777" w:rsidR="00554BA3" w:rsidRDefault="00554BA3" w:rsidP="00554BA3">
      <w:pPr>
        <w:pStyle w:val="Corpotesto"/>
        <w:spacing w:line="288" w:lineRule="auto"/>
        <w:ind w:left="0" w:right="-7"/>
        <w:contextualSpacing/>
        <w:jc w:val="both"/>
        <w:rPr>
          <w:rFonts w:ascii="Garamond" w:hAnsi="Garamond"/>
          <w:b/>
          <w:spacing w:val="-1"/>
          <w:sz w:val="22"/>
          <w:szCs w:val="22"/>
          <w:u w:val="single"/>
          <w:lang w:val="it-IT"/>
        </w:rPr>
      </w:pPr>
    </w:p>
    <w:p w14:paraId="6AA156B3" w14:textId="77777777" w:rsidR="00554BA3" w:rsidRPr="003339AD" w:rsidRDefault="00554BA3" w:rsidP="00554BA3">
      <w:pPr>
        <w:widowControl w:val="0"/>
        <w:tabs>
          <w:tab w:val="right" w:leader="underscore" w:pos="9600"/>
        </w:tabs>
        <w:spacing w:after="0" w:line="360" w:lineRule="auto"/>
        <w:rPr>
          <w:rFonts w:ascii="Garamond" w:eastAsia="Calibri" w:hAnsi="Garamond" w:cs="Times New Roman"/>
          <w:lang w:eastAsia="it-IT"/>
        </w:rPr>
      </w:pPr>
    </w:p>
    <w:p w14:paraId="4A87F1D6" w14:textId="77777777" w:rsidR="00554BA3" w:rsidRPr="003339AD" w:rsidRDefault="00554BA3" w:rsidP="00554BA3">
      <w:pPr>
        <w:rPr>
          <w:rFonts w:ascii="Garamond" w:hAnsi="Garamond"/>
        </w:rPr>
      </w:pPr>
      <w:r w:rsidRPr="003339AD">
        <w:rPr>
          <w:rFonts w:ascii="Garamond" w:hAnsi="Garamond"/>
          <w:b/>
        </w:rPr>
        <w:t>Note utili alla compilazione</w:t>
      </w:r>
      <w:r w:rsidRPr="003339AD">
        <w:rPr>
          <w:rFonts w:ascii="Garamond" w:hAnsi="Garamond"/>
        </w:rPr>
        <w:t>:</w:t>
      </w:r>
    </w:p>
    <w:p w14:paraId="5C556C4B" w14:textId="200B5955" w:rsidR="00554BA3" w:rsidRDefault="00554BA3" w:rsidP="00554BA3">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t>L</w:t>
      </w:r>
      <w:r>
        <w:rPr>
          <w:rFonts w:ascii="Garamond" w:eastAsia="Times New Roman" w:hAnsi="Garamond" w:cs="Arial"/>
          <w:lang w:eastAsia="it-IT"/>
        </w:rPr>
        <w:t xml:space="preserve">a presente </w:t>
      </w:r>
      <w:r w:rsidR="006028FA">
        <w:rPr>
          <w:rFonts w:ascii="Garamond" w:eastAsia="Times New Roman" w:hAnsi="Garamond" w:cs="Arial"/>
          <w:lang w:eastAsia="it-IT"/>
        </w:rPr>
        <w:t xml:space="preserve">relazione </w:t>
      </w:r>
      <w:r>
        <w:rPr>
          <w:rFonts w:ascii="Garamond" w:eastAsia="Times New Roman" w:hAnsi="Garamond" w:cs="Arial"/>
          <w:lang w:eastAsia="it-IT"/>
        </w:rPr>
        <w:t>tecnica</w:t>
      </w:r>
      <w:r w:rsidRPr="00DE616A">
        <w:rPr>
          <w:rFonts w:ascii="Garamond" w:eastAsia="Times New Roman" w:hAnsi="Garamond" w:cs="Arial"/>
          <w:lang w:eastAsia="it-IT"/>
        </w:rPr>
        <w:t xml:space="preserve"> deve essere </w:t>
      </w:r>
      <w:r w:rsidRPr="003D7B8C">
        <w:rPr>
          <w:rFonts w:ascii="Garamond" w:eastAsia="Times New Roman" w:hAnsi="Garamond" w:cs="Arial"/>
          <w:b/>
          <w:lang w:eastAsia="it-IT"/>
        </w:rPr>
        <w:t>sottoscritta digitalmente</w:t>
      </w:r>
      <w:r w:rsidRPr="00DE616A">
        <w:rPr>
          <w:rFonts w:ascii="Garamond" w:eastAsia="Times New Roman" w:hAnsi="Garamond" w:cs="Arial"/>
          <w:lang w:eastAsia="it-IT"/>
        </w:rPr>
        <w:t xml:space="preserve"> dal legale rappresentante </w:t>
      </w:r>
      <w:r>
        <w:rPr>
          <w:rFonts w:ascii="Garamond" w:eastAsia="Times New Roman" w:hAnsi="Garamond" w:cs="Arial"/>
          <w:lang w:eastAsia="it-IT"/>
        </w:rPr>
        <w:t xml:space="preserve">dell’operatore economico </w:t>
      </w:r>
      <w:r w:rsidRPr="00DE616A">
        <w:rPr>
          <w:rFonts w:ascii="Garamond" w:eastAsia="Times New Roman" w:hAnsi="Garamond" w:cs="Arial"/>
          <w:lang w:eastAsia="it-IT"/>
        </w:rPr>
        <w:t>concorrente</w:t>
      </w:r>
      <w:r w:rsidR="00FF4E4C">
        <w:rPr>
          <w:rFonts w:ascii="Garamond" w:eastAsia="Times New Roman" w:hAnsi="Garamond" w:cs="Arial"/>
          <w:lang w:eastAsia="it-IT"/>
        </w:rPr>
        <w:t xml:space="preserve"> o suo procuratore</w:t>
      </w:r>
      <w:r w:rsidR="007A2620">
        <w:rPr>
          <w:rFonts w:ascii="Garamond" w:eastAsia="Times New Roman" w:hAnsi="Garamond" w:cs="Arial"/>
          <w:lang w:eastAsia="it-IT"/>
        </w:rPr>
        <w:t xml:space="preserve"> (in tal caso allegare copia della procura)</w:t>
      </w:r>
      <w:r w:rsidRPr="00DE616A">
        <w:rPr>
          <w:rFonts w:ascii="Garamond" w:eastAsia="Times New Roman" w:hAnsi="Garamond" w:cs="Arial"/>
          <w:lang w:eastAsia="it-IT"/>
        </w:rPr>
        <w:t xml:space="preserve">; </w:t>
      </w:r>
    </w:p>
    <w:p w14:paraId="54285302" w14:textId="77777777" w:rsidR="00554BA3" w:rsidRDefault="00554BA3" w:rsidP="00554BA3">
      <w:pPr>
        <w:spacing w:after="0" w:line="240" w:lineRule="auto"/>
        <w:jc w:val="both"/>
        <w:rPr>
          <w:rFonts w:ascii="Garamond" w:eastAsia="Times New Roman" w:hAnsi="Garamond" w:cs="Arial"/>
          <w:lang w:eastAsia="it-IT"/>
        </w:rPr>
      </w:pPr>
      <w:r w:rsidRPr="00DE616A">
        <w:rPr>
          <w:rFonts w:ascii="Garamond" w:eastAsia="Times New Roman" w:hAnsi="Garamond" w:cs="Arial"/>
          <w:lang w:eastAsia="it-IT"/>
        </w:rPr>
        <w:t xml:space="preserve">nel caso di RTI costituito, dal Legale rappresentante della società mandataria; </w:t>
      </w:r>
    </w:p>
    <w:p w14:paraId="2A0564CC" w14:textId="77777777" w:rsidR="00554BA3" w:rsidRPr="000F6200" w:rsidRDefault="00554BA3" w:rsidP="00554BA3">
      <w:pPr>
        <w:spacing w:after="0" w:line="240" w:lineRule="auto"/>
        <w:jc w:val="both"/>
        <w:rPr>
          <w:rFonts w:ascii="Garamond" w:eastAsia="Calibri" w:hAnsi="Garamond" w:cs="Times New Roman"/>
          <w:lang w:eastAsia="it-IT"/>
        </w:rPr>
      </w:pPr>
      <w:r w:rsidRPr="00DE616A">
        <w:rPr>
          <w:rFonts w:ascii="Garamond" w:eastAsia="Times New Roman" w:hAnsi="Garamond" w:cs="Arial"/>
          <w:lang w:eastAsia="it-IT"/>
        </w:rPr>
        <w:t>nel caso di RTI costituendo, dai legali rappresentanti di ciascun operatore economico che partecipa alla procedura in forma congiunta.</w:t>
      </w:r>
    </w:p>
    <w:p w14:paraId="50E8B3E0" w14:textId="77777777" w:rsidR="00554BA3" w:rsidRPr="001615E5" w:rsidRDefault="00554BA3" w:rsidP="001615E5">
      <w:pPr>
        <w:rPr>
          <w:rFonts w:ascii="Garamond" w:hAnsi="Garamond"/>
        </w:rPr>
      </w:pPr>
    </w:p>
    <w:sectPr w:rsidR="00554BA3" w:rsidRPr="001615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71E"/>
    <w:multiLevelType w:val="hybridMultilevel"/>
    <w:tmpl w:val="AF9EAF2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561199"/>
    <w:multiLevelType w:val="hybridMultilevel"/>
    <w:tmpl w:val="5AAE2440"/>
    <w:lvl w:ilvl="0" w:tplc="2B5603C2">
      <w:start w:val="1"/>
      <w:numFmt w:val="decimal"/>
      <w:lvlText w:val="%1."/>
      <w:lvlJc w:val="left"/>
      <w:pPr>
        <w:ind w:left="360" w:hanging="360"/>
      </w:pPr>
      <w:rPr>
        <w:rFonts w:hint="default"/>
        <w:b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BC57A55"/>
    <w:multiLevelType w:val="hybridMultilevel"/>
    <w:tmpl w:val="FF7A8C5C"/>
    <w:lvl w:ilvl="0" w:tplc="4F3E6096">
      <w:start w:val="1"/>
      <w:numFmt w:val="decimal"/>
      <w:lvlText w:val="%1."/>
      <w:lvlJc w:val="left"/>
      <w:pPr>
        <w:ind w:left="360" w:hanging="360"/>
      </w:pPr>
      <w:rPr>
        <w:rFonts w:eastAsiaTheme="minorHAnsi" w:cstheme="minorBidi"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0AE75A8"/>
    <w:multiLevelType w:val="hybridMultilevel"/>
    <w:tmpl w:val="6A6C312C"/>
    <w:lvl w:ilvl="0" w:tplc="BFAEE85E">
      <w:start w:val="1"/>
      <w:numFmt w:val="upperLetter"/>
      <w:lvlText w:val="%1."/>
      <w:lvlJc w:val="left"/>
      <w:pPr>
        <w:ind w:left="360" w:hanging="360"/>
      </w:pPr>
      <w:rPr>
        <w:rFonts w:cstheme="minorBidi"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6680D79"/>
    <w:multiLevelType w:val="hybridMultilevel"/>
    <w:tmpl w:val="6186DD26"/>
    <w:lvl w:ilvl="0" w:tplc="4D08A19C">
      <w:start w:val="1"/>
      <w:numFmt w:val="decimal"/>
      <w:lvlText w:val="%1."/>
      <w:lvlJc w:val="left"/>
      <w:pPr>
        <w:ind w:left="36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E66D3D"/>
    <w:multiLevelType w:val="multilevel"/>
    <w:tmpl w:val="A5FE8392"/>
    <w:lvl w:ilvl="0">
      <w:start w:val="1"/>
      <w:numFmt w:val="lowerLetter"/>
      <w:lvlText w:val="%1)"/>
      <w:lvlJc w:val="left"/>
      <w:pPr>
        <w:ind w:left="360" w:hanging="360"/>
      </w:pPr>
      <w:rPr>
        <w:rFonts w:hint="default"/>
        <w:i w:val="0"/>
        <w:color w:val="auto"/>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2BB0DEF"/>
    <w:multiLevelType w:val="hybridMultilevel"/>
    <w:tmpl w:val="CFDEEF5A"/>
    <w:lvl w:ilvl="0" w:tplc="C546C40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151282"/>
    <w:multiLevelType w:val="hybridMultilevel"/>
    <w:tmpl w:val="1C62452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42E"/>
    <w:rsid w:val="000423DC"/>
    <w:rsid w:val="000438FA"/>
    <w:rsid w:val="000956F1"/>
    <w:rsid w:val="000C242E"/>
    <w:rsid w:val="00105906"/>
    <w:rsid w:val="001315F3"/>
    <w:rsid w:val="001615E5"/>
    <w:rsid w:val="0018196E"/>
    <w:rsid w:val="00185E78"/>
    <w:rsid w:val="001A32BC"/>
    <w:rsid w:val="001F3C4F"/>
    <w:rsid w:val="002501E6"/>
    <w:rsid w:val="00342D34"/>
    <w:rsid w:val="003701BC"/>
    <w:rsid w:val="004314CC"/>
    <w:rsid w:val="004A0A4F"/>
    <w:rsid w:val="004E22C8"/>
    <w:rsid w:val="00554BA3"/>
    <w:rsid w:val="006028FA"/>
    <w:rsid w:val="00635A77"/>
    <w:rsid w:val="006428EF"/>
    <w:rsid w:val="006B39AD"/>
    <w:rsid w:val="006C78FE"/>
    <w:rsid w:val="007A2620"/>
    <w:rsid w:val="007F1E4B"/>
    <w:rsid w:val="008C3545"/>
    <w:rsid w:val="008E6C8E"/>
    <w:rsid w:val="00936696"/>
    <w:rsid w:val="009A52C6"/>
    <w:rsid w:val="00A1249B"/>
    <w:rsid w:val="00A1411A"/>
    <w:rsid w:val="00A63EF4"/>
    <w:rsid w:val="00C66D5D"/>
    <w:rsid w:val="00D23940"/>
    <w:rsid w:val="00DE151A"/>
    <w:rsid w:val="00E20DFD"/>
    <w:rsid w:val="00F9609B"/>
    <w:rsid w:val="00FF4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20DC"/>
  <w15:chartTrackingRefBased/>
  <w15:docId w15:val="{605F997C-ABD3-4B60-BE8A-89E80C02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242E"/>
    <w:pPr>
      <w:spacing w:after="200" w:line="276" w:lineRule="auto"/>
    </w:pPr>
  </w:style>
  <w:style w:type="paragraph" w:styleId="Titolo6">
    <w:name w:val="heading 6"/>
    <w:basedOn w:val="Normale"/>
    <w:next w:val="Normale"/>
    <w:link w:val="Titolo6Carattere"/>
    <w:qFormat/>
    <w:rsid w:val="000C242E"/>
    <w:pPr>
      <w:keepNext/>
      <w:tabs>
        <w:tab w:val="left" w:pos="5387"/>
        <w:tab w:val="left" w:pos="6521"/>
      </w:tabs>
      <w:spacing w:after="0" w:line="240" w:lineRule="auto"/>
      <w:ind w:right="-285"/>
      <w:jc w:val="both"/>
      <w:outlineLvl w:val="5"/>
    </w:pPr>
    <w:rPr>
      <w:rFonts w:ascii="Times New Roman" w:eastAsia="Times New Roman" w:hAnsi="Times New Roman" w:cs="Times New Roman"/>
      <w:b/>
      <w:sz w:val="24"/>
      <w:szCs w:val="24"/>
      <w:lang w:eastAsia="it-IT"/>
    </w:rPr>
  </w:style>
  <w:style w:type="paragraph" w:styleId="Titolo9">
    <w:name w:val="heading 9"/>
    <w:basedOn w:val="Normale"/>
    <w:next w:val="Normale"/>
    <w:link w:val="Titolo9Carattere"/>
    <w:qFormat/>
    <w:rsid w:val="000C242E"/>
    <w:pPr>
      <w:keepNext/>
      <w:spacing w:after="0" w:line="240" w:lineRule="auto"/>
      <w:jc w:val="center"/>
      <w:outlineLvl w:val="8"/>
    </w:pPr>
    <w:rPr>
      <w:rFonts w:ascii="Arial" w:eastAsia="Times New Roman" w:hAnsi="Arial" w:cs="Arial"/>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0C242E"/>
    <w:rPr>
      <w:rFonts w:ascii="Times New Roman" w:eastAsia="Times New Roman" w:hAnsi="Times New Roman" w:cs="Times New Roman"/>
      <w:b/>
      <w:sz w:val="24"/>
      <w:szCs w:val="24"/>
      <w:lang w:eastAsia="it-IT"/>
    </w:rPr>
  </w:style>
  <w:style w:type="character" w:customStyle="1" w:styleId="Titolo9Carattere">
    <w:name w:val="Titolo 9 Carattere"/>
    <w:basedOn w:val="Carpredefinitoparagrafo"/>
    <w:link w:val="Titolo9"/>
    <w:rsid w:val="000C242E"/>
    <w:rPr>
      <w:rFonts w:ascii="Arial" w:eastAsia="Times New Roman" w:hAnsi="Arial" w:cs="Arial"/>
      <w:b/>
      <w:bCs/>
      <w:sz w:val="20"/>
      <w:szCs w:val="24"/>
      <w:lang w:eastAsia="it-IT"/>
    </w:rPr>
  </w:style>
  <w:style w:type="paragraph" w:styleId="Paragrafoelenco">
    <w:name w:val="List Paragraph"/>
    <w:basedOn w:val="Normale"/>
    <w:link w:val="ParagrafoelencoCarattere"/>
    <w:uiPriority w:val="34"/>
    <w:qFormat/>
    <w:rsid w:val="000C242E"/>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C242E"/>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0C242E"/>
    <w:rPr>
      <w:sz w:val="16"/>
      <w:szCs w:val="16"/>
    </w:rPr>
  </w:style>
  <w:style w:type="paragraph" w:styleId="Testocommento">
    <w:name w:val="annotation text"/>
    <w:basedOn w:val="Normale"/>
    <w:link w:val="TestocommentoCarattere"/>
    <w:unhideWhenUsed/>
    <w:rsid w:val="000C242E"/>
    <w:pPr>
      <w:spacing w:line="240" w:lineRule="auto"/>
    </w:pPr>
    <w:rPr>
      <w:sz w:val="20"/>
      <w:szCs w:val="20"/>
    </w:rPr>
  </w:style>
  <w:style w:type="character" w:customStyle="1" w:styleId="TestocommentoCarattere">
    <w:name w:val="Testo commento Carattere"/>
    <w:basedOn w:val="Carpredefinitoparagrafo"/>
    <w:link w:val="Testocommento"/>
    <w:rsid w:val="000C242E"/>
    <w:rPr>
      <w:sz w:val="20"/>
      <w:szCs w:val="20"/>
    </w:rPr>
  </w:style>
  <w:style w:type="paragraph" w:styleId="Testofumetto">
    <w:name w:val="Balloon Text"/>
    <w:basedOn w:val="Normale"/>
    <w:link w:val="TestofumettoCarattere"/>
    <w:uiPriority w:val="99"/>
    <w:semiHidden/>
    <w:unhideWhenUsed/>
    <w:rsid w:val="000C24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42E"/>
    <w:rPr>
      <w:rFonts w:ascii="Segoe UI" w:hAnsi="Segoe UI" w:cs="Segoe UI"/>
      <w:sz w:val="18"/>
      <w:szCs w:val="18"/>
    </w:rPr>
  </w:style>
  <w:style w:type="paragraph" w:styleId="Corpotesto">
    <w:name w:val="Body Text"/>
    <w:basedOn w:val="Normale"/>
    <w:link w:val="CorpotestoCarattere"/>
    <w:uiPriority w:val="1"/>
    <w:semiHidden/>
    <w:unhideWhenUsed/>
    <w:qFormat/>
    <w:rsid w:val="00554BA3"/>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554BA3"/>
    <w:rPr>
      <w:rFonts w:ascii="Arial" w:eastAsia="Arial"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1651</Words>
  <Characters>9413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GLORIOSO  ANNA MARIA</dc:creator>
  <cp:keywords/>
  <dc:description/>
  <cp:lastModifiedBy>GLORIOSO  ANNA MARIA</cp:lastModifiedBy>
  <cp:revision>13</cp:revision>
  <dcterms:created xsi:type="dcterms:W3CDTF">2021-05-24T10:42:00Z</dcterms:created>
  <dcterms:modified xsi:type="dcterms:W3CDTF">2021-05-27T08:30:00Z</dcterms:modified>
</cp:coreProperties>
</file>