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E616" w14:textId="77777777"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14:paraId="1152E01E" w14:textId="40E8D2E7" w:rsidR="00B30486"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Scheda</w:t>
      </w:r>
      <w:r w:rsidR="006C361A" w:rsidRPr="00C05DA4">
        <w:rPr>
          <w:rFonts w:ascii="Garamond" w:eastAsia="Times New Roman" w:hAnsi="Garamond" w:cs="Times New Roman"/>
          <w:b/>
          <w:snapToGrid w:val="0"/>
          <w:sz w:val="28"/>
          <w:szCs w:val="28"/>
          <w:lang w:eastAsia="it-IT"/>
        </w:rPr>
        <w:t xml:space="preserve"> </w:t>
      </w:r>
      <w:r w:rsidR="00B30486" w:rsidRPr="00C05DA4">
        <w:rPr>
          <w:rFonts w:ascii="Garamond" w:eastAsia="Times New Roman" w:hAnsi="Garamond" w:cs="Times New Roman"/>
          <w:b/>
          <w:snapToGrid w:val="0"/>
          <w:sz w:val="28"/>
          <w:szCs w:val="28"/>
          <w:lang w:eastAsia="it-IT"/>
        </w:rPr>
        <w:t xml:space="preserve">Tecnica </w:t>
      </w:r>
    </w:p>
    <w:p w14:paraId="3EEFB432" w14:textId="681621F5" w:rsidR="00C901BD" w:rsidRPr="00C05DA4"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Conformità requisiti minimi</w:t>
      </w:r>
    </w:p>
    <w:p w14:paraId="336C97C5"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582EE5" w:rsidRPr="0071047E" w14:paraId="12115EBF" w14:textId="77777777" w:rsidTr="00582EE5">
        <w:tc>
          <w:tcPr>
            <w:tcW w:w="3227" w:type="dxa"/>
            <w:shd w:val="clear" w:color="auto" w:fill="auto"/>
            <w:vAlign w:val="center"/>
          </w:tcPr>
          <w:p w14:paraId="6807353C"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Stazione appaltante:</w:t>
            </w:r>
          </w:p>
          <w:p w14:paraId="77922260"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POLITECNICO DI TORINO</w:t>
            </w:r>
          </w:p>
        </w:tc>
        <w:tc>
          <w:tcPr>
            <w:tcW w:w="6662" w:type="dxa"/>
            <w:shd w:val="clear" w:color="auto" w:fill="auto"/>
          </w:tcPr>
          <w:p w14:paraId="0C326249" w14:textId="77777777" w:rsidR="00187F8E" w:rsidRPr="00187F8E" w:rsidRDefault="00187F8E" w:rsidP="00187F8E">
            <w:pPr>
              <w:suppressAutoHyphens/>
              <w:spacing w:after="0"/>
              <w:jc w:val="both"/>
              <w:rPr>
                <w:rFonts w:ascii="Garamond" w:eastAsia="Times New Roman" w:hAnsi="Garamond" w:cs="Times New Roman"/>
                <w:lang w:eastAsia="zh-CN"/>
              </w:rPr>
            </w:pPr>
            <w:r w:rsidRPr="00187F8E">
              <w:rPr>
                <w:rFonts w:ascii="Garamond" w:eastAsia="Times New Roman" w:hAnsi="Garamond" w:cs="Times New Roman"/>
                <w:lang w:eastAsia="zh-CN"/>
              </w:rPr>
              <w:t xml:space="preserve">Procedura aperta ai sensi dell’art. 60, D.lgs. 50/2016 e </w:t>
            </w:r>
            <w:proofErr w:type="spellStart"/>
            <w:r w:rsidRPr="00187F8E">
              <w:rPr>
                <w:rFonts w:ascii="Garamond" w:eastAsia="Times New Roman" w:hAnsi="Garamond" w:cs="Times New Roman"/>
                <w:lang w:eastAsia="zh-CN"/>
              </w:rPr>
              <w:t>ss.</w:t>
            </w:r>
            <w:proofErr w:type="gramStart"/>
            <w:r w:rsidRPr="00187F8E">
              <w:rPr>
                <w:rFonts w:ascii="Garamond" w:eastAsia="Times New Roman" w:hAnsi="Garamond" w:cs="Times New Roman"/>
                <w:lang w:eastAsia="zh-CN"/>
              </w:rPr>
              <w:t>mm.ii</w:t>
            </w:r>
            <w:proofErr w:type="spellEnd"/>
            <w:r w:rsidRPr="00187F8E">
              <w:rPr>
                <w:rFonts w:ascii="Garamond" w:eastAsia="Times New Roman" w:hAnsi="Garamond" w:cs="Times New Roman"/>
                <w:lang w:eastAsia="zh-CN"/>
              </w:rPr>
              <w:t>.</w:t>
            </w:r>
            <w:proofErr w:type="gramEnd"/>
            <w:r w:rsidRPr="00187F8E">
              <w:rPr>
                <w:rFonts w:ascii="Garamond" w:eastAsia="Times New Roman" w:hAnsi="Garamond" w:cs="Times New Roman"/>
                <w:lang w:eastAsia="zh-CN"/>
              </w:rPr>
              <w:t xml:space="preserve"> per l’affidamento della fornitura di un “Sistema integrato AFM/</w:t>
            </w:r>
            <w:proofErr w:type="spellStart"/>
            <w:r w:rsidRPr="00187F8E">
              <w:rPr>
                <w:rFonts w:ascii="Garamond" w:eastAsia="Times New Roman" w:hAnsi="Garamond" w:cs="Times New Roman"/>
                <w:lang w:eastAsia="zh-CN"/>
              </w:rPr>
              <w:t>NanoIR</w:t>
            </w:r>
            <w:proofErr w:type="spellEnd"/>
            <w:r w:rsidRPr="00187F8E">
              <w:rPr>
                <w:rFonts w:ascii="Garamond" w:eastAsia="Times New Roman" w:hAnsi="Garamond" w:cs="Times New Roman"/>
                <w:lang w:eastAsia="zh-CN"/>
              </w:rPr>
              <w:t xml:space="preserve"> per misure spettroscopiche ad elevata risoluzione spaziale”</w:t>
            </w:r>
          </w:p>
          <w:p w14:paraId="6E60C924" w14:textId="2B41D6D2" w:rsidR="00582EE5" w:rsidRPr="00C05DA4" w:rsidRDefault="00187F8E" w:rsidP="00187F8E">
            <w:pPr>
              <w:suppressAutoHyphens/>
              <w:spacing w:after="0"/>
              <w:jc w:val="both"/>
              <w:rPr>
                <w:rFonts w:ascii="Garamond" w:eastAsia="Times New Roman" w:hAnsi="Garamond" w:cs="Times New Roman"/>
                <w:lang w:eastAsia="zh-CN"/>
              </w:rPr>
            </w:pPr>
            <w:r w:rsidRPr="00187F8E">
              <w:rPr>
                <w:rFonts w:ascii="Garamond" w:eastAsia="Times New Roman" w:hAnsi="Garamond" w:cs="Times New Roman"/>
                <w:lang w:eastAsia="zh-CN"/>
              </w:rPr>
              <w:t xml:space="preserve">CIG </w:t>
            </w:r>
            <w:r w:rsidR="00EC7611">
              <w:rPr>
                <w:rFonts w:ascii="Garamond" w:eastAsia="Times New Roman" w:hAnsi="Garamond" w:cs="Times New Roman"/>
                <w:lang w:eastAsia="zh-CN"/>
              </w:rPr>
              <w:t xml:space="preserve">875296680A </w:t>
            </w:r>
            <w:r w:rsidRPr="00187F8E">
              <w:rPr>
                <w:rFonts w:ascii="Garamond" w:eastAsia="Times New Roman" w:hAnsi="Garamond" w:cs="Times New Roman"/>
                <w:lang w:eastAsia="zh-CN"/>
              </w:rPr>
              <w:t>– CUP E11G18000350001 – CUI F00518460019202000013</w:t>
            </w:r>
          </w:p>
        </w:tc>
      </w:tr>
    </w:tbl>
    <w:p w14:paraId="3F6C71D2"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3E57541D" w14:textId="77777777"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3742B9AC" w14:textId="77777777"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14:paraId="15D9CCDC" w14:textId="77777777" w:rsidR="00D704D5" w:rsidRDefault="00B30486" w:rsidP="00B30486">
      <w:pPr>
        <w:tabs>
          <w:tab w:val="left" w:pos="6521"/>
          <w:tab w:val="left" w:pos="6804"/>
        </w:tabs>
        <w:spacing w:after="0" w:line="240" w:lineRule="auto"/>
        <w:ind w:right="-285"/>
        <w:jc w:val="both"/>
        <w:rPr>
          <w:rFonts w:ascii="Garamond" w:eastAsia="Calibri" w:hAnsi="Garamond" w:cs="Times New Roman"/>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p>
    <w:p w14:paraId="5F94D170" w14:textId="77777777" w:rsidR="00ED1100"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r>
      <w:r w:rsidR="00BE2C93">
        <w:rPr>
          <w:rFonts w:ascii="Garamond" w:eastAsia="Calibri" w:hAnsi="Garamond" w:cs="Times New Roman"/>
          <w:b/>
          <w:lang w:eastAsia="it-IT"/>
        </w:rPr>
        <w:t xml:space="preserve"> </w:t>
      </w:r>
    </w:p>
    <w:p w14:paraId="6B339465" w14:textId="77777777" w:rsidR="00FD188C" w:rsidRDefault="00BE2C93" w:rsidP="00D704D5">
      <w:pPr>
        <w:tabs>
          <w:tab w:val="left" w:pos="6521"/>
          <w:tab w:val="left" w:pos="6804"/>
        </w:tabs>
        <w:spacing w:after="0" w:line="240" w:lineRule="auto"/>
        <w:ind w:right="-82"/>
        <w:jc w:val="right"/>
        <w:rPr>
          <w:rFonts w:ascii="Garamond" w:eastAsia="Calibri" w:hAnsi="Garamond" w:cs="Times New Roman"/>
          <w:b/>
          <w:lang w:eastAsia="it-IT"/>
        </w:rPr>
      </w:pPr>
      <w:r>
        <w:rPr>
          <w:rFonts w:ascii="Garamond" w:eastAsia="Calibri" w:hAnsi="Garamond" w:cs="Times New Roman"/>
          <w:b/>
          <w:lang w:eastAsia="it-IT"/>
        </w:rPr>
        <w:t xml:space="preserve"> </w:t>
      </w:r>
      <w:r w:rsidR="00FD188C">
        <w:rPr>
          <w:rFonts w:ascii="Garamond" w:eastAsia="Calibri" w:hAnsi="Garamond" w:cs="Times New Roman"/>
          <w:b/>
          <w:lang w:eastAsia="it-IT"/>
        </w:rPr>
        <w:t>Spett.le Politecnico di Torino</w:t>
      </w:r>
    </w:p>
    <w:p w14:paraId="34D0D74F"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Area AQUI</w:t>
      </w:r>
    </w:p>
    <w:p w14:paraId="4AE0CBD6"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2CF8BE4A"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5DA8E5C9"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3384461C" w14:textId="77777777"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14:paraId="74825DD6"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14:paraId="4856C763" w14:textId="77777777"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14:paraId="442C097D" w14:textId="77777777"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w:t>
      </w:r>
      <w:r w:rsidR="00540943">
        <w:rPr>
          <w:rFonts w:ascii="Garamond" w:eastAsia="Calibri" w:hAnsi="Garamond" w:cs="Times New Roman"/>
          <w:lang w:eastAsia="it-IT"/>
        </w:rPr>
        <w:t xml:space="preserve"> </w:t>
      </w:r>
      <w:r w:rsidRPr="001A50FD">
        <w:rPr>
          <w:rFonts w:ascii="Garamond" w:eastAsia="Calibri" w:hAnsi="Garamond" w:cs="Times New Roman"/>
          <w:lang w:eastAsia="it-IT"/>
        </w:rPr>
        <w:t>società ____________________________________________________________________________</w:t>
      </w:r>
      <w:r w:rsidR="002A3C6E">
        <w:rPr>
          <w:rFonts w:ascii="Garamond" w:eastAsia="Calibri" w:hAnsi="Garamond" w:cs="Times New Roman"/>
          <w:lang w:eastAsia="it-IT"/>
        </w:rPr>
        <w:t>_</w:t>
      </w:r>
    </w:p>
    <w:p w14:paraId="6874E928"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14:paraId="6821A12F"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14:paraId="6D31795D" w14:textId="77777777"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14:paraId="1E09D734"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14:paraId="7A91A773" w14:textId="77777777"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14:paraId="40D1E482" w14:textId="77777777"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14:paraId="4F382146" w14:textId="77777777" w:rsidR="000F6200" w:rsidRDefault="000F6200" w:rsidP="00644958">
      <w:pPr>
        <w:widowControl w:val="0"/>
        <w:tabs>
          <w:tab w:val="right" w:leader="underscore" w:pos="9600"/>
        </w:tabs>
        <w:spacing w:after="0" w:line="360" w:lineRule="auto"/>
        <w:jc w:val="both"/>
        <w:rPr>
          <w:rFonts w:ascii="Garamond" w:eastAsia="Calibri" w:hAnsi="Garamond" w:cs="Times New Roman"/>
          <w:lang w:eastAsia="it-IT"/>
        </w:rPr>
      </w:pPr>
    </w:p>
    <w:p w14:paraId="55189826" w14:textId="489A65FF" w:rsidR="00CF758B" w:rsidRPr="00D81E70" w:rsidRDefault="00CF758B" w:rsidP="00CF758B">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w:t>
      </w:r>
      <w:r w:rsidR="00E80BDE">
        <w:rPr>
          <w:rFonts w:ascii="Garamond" w:eastAsia="Calibri" w:hAnsi="Garamond" w:cs="Times New Roman"/>
          <w:i/>
          <w:lang w:eastAsia="it-IT"/>
        </w:rPr>
        <w:t xml:space="preserve">imento alla pagina della documentazione </w:t>
      </w:r>
      <w:r w:rsidRPr="00D81E70">
        <w:rPr>
          <w:rFonts w:ascii="Garamond" w:eastAsia="Calibri" w:hAnsi="Garamond" w:cs="Times New Roman"/>
          <w:i/>
          <w:lang w:eastAsia="it-IT"/>
        </w:rPr>
        <w:t>tecnica da cui poter evincere la presenza dell’elemento tecnico minimo richiesto.</w:t>
      </w:r>
    </w:p>
    <w:p w14:paraId="2B91D69A" w14:textId="77777777" w:rsidR="00CF758B" w:rsidRPr="0093385B" w:rsidRDefault="00CF758B" w:rsidP="00CF758B">
      <w:pPr>
        <w:widowControl w:val="0"/>
        <w:tabs>
          <w:tab w:val="right" w:leader="underscore" w:pos="9600"/>
        </w:tabs>
        <w:spacing w:after="0" w:line="360" w:lineRule="auto"/>
        <w:rPr>
          <w:rFonts w:ascii="Garamond" w:eastAsia="Calibri" w:hAnsi="Garamond" w:cs="Times New Roman"/>
          <w:i/>
          <w:lang w:eastAsia="it-IT"/>
        </w:rPr>
      </w:pPr>
    </w:p>
    <w:p w14:paraId="14E2A1E6" w14:textId="77777777" w:rsidR="00CF758B" w:rsidRDefault="00CF758B" w:rsidP="00CF758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10073" w:type="dxa"/>
        <w:tblInd w:w="108" w:type="dxa"/>
        <w:tblLayout w:type="fixed"/>
        <w:tblLook w:val="04A0" w:firstRow="1" w:lastRow="0" w:firstColumn="1" w:lastColumn="0" w:noHBand="0" w:noVBand="1"/>
      </w:tblPr>
      <w:tblGrid>
        <w:gridCol w:w="426"/>
        <w:gridCol w:w="5557"/>
        <w:gridCol w:w="1701"/>
        <w:gridCol w:w="2382"/>
        <w:gridCol w:w="7"/>
      </w:tblGrid>
      <w:tr w:rsidR="00CF758B" w:rsidRPr="00514F35" w14:paraId="56430A7C" w14:textId="77777777" w:rsidTr="00315259">
        <w:trPr>
          <w:trHeight w:val="850"/>
        </w:trPr>
        <w:tc>
          <w:tcPr>
            <w:tcW w:w="5983" w:type="dxa"/>
            <w:gridSpan w:val="2"/>
            <w:shd w:val="clear" w:color="auto" w:fill="D9D9D9" w:themeFill="background1" w:themeFillShade="D9"/>
          </w:tcPr>
          <w:p w14:paraId="5569A0C3" w14:textId="77777777" w:rsidR="00CF758B" w:rsidRPr="00514F35" w:rsidRDefault="00CF758B" w:rsidP="00716916">
            <w:pPr>
              <w:widowControl w:val="0"/>
              <w:tabs>
                <w:tab w:val="right" w:leader="underscore" w:pos="9600"/>
              </w:tabs>
              <w:spacing w:line="360" w:lineRule="auto"/>
              <w:jc w:val="center"/>
              <w:rPr>
                <w:rFonts w:ascii="Garamond" w:eastAsia="Calibri" w:hAnsi="Garamond"/>
                <w:b/>
              </w:rPr>
            </w:pPr>
          </w:p>
          <w:p w14:paraId="5049391F" w14:textId="77777777" w:rsidR="00CF758B" w:rsidRPr="00514F35" w:rsidRDefault="00CF758B" w:rsidP="00716916">
            <w:pPr>
              <w:widowControl w:val="0"/>
              <w:tabs>
                <w:tab w:val="right" w:leader="underscore" w:pos="9600"/>
              </w:tabs>
              <w:spacing w:line="360" w:lineRule="auto"/>
              <w:jc w:val="center"/>
              <w:rPr>
                <w:rFonts w:ascii="Garamond" w:eastAsia="Calibri" w:hAnsi="Garamond"/>
                <w:b/>
              </w:rPr>
            </w:pPr>
            <w:r w:rsidRPr="00514F35">
              <w:rPr>
                <w:rFonts w:ascii="Garamond" w:eastAsia="Calibri" w:hAnsi="Garamond"/>
                <w:b/>
              </w:rPr>
              <w:t>ELEMENTI TECNICI MINIMI A PENA DI ESCLUSIONE</w:t>
            </w:r>
          </w:p>
        </w:tc>
        <w:tc>
          <w:tcPr>
            <w:tcW w:w="1701" w:type="dxa"/>
            <w:shd w:val="clear" w:color="auto" w:fill="D9D9D9" w:themeFill="background1" w:themeFillShade="D9"/>
          </w:tcPr>
          <w:p w14:paraId="242143C3" w14:textId="77777777" w:rsidR="00CF758B" w:rsidRPr="00514F35" w:rsidRDefault="00CF758B" w:rsidP="00716916">
            <w:pPr>
              <w:widowControl w:val="0"/>
              <w:tabs>
                <w:tab w:val="right" w:leader="underscore" w:pos="9600"/>
              </w:tabs>
              <w:spacing w:line="360" w:lineRule="auto"/>
              <w:rPr>
                <w:rFonts w:ascii="Garamond" w:eastAsia="Calibri" w:hAnsi="Garamond"/>
                <w:b/>
              </w:rPr>
            </w:pPr>
          </w:p>
          <w:p w14:paraId="2B316017" w14:textId="77777777" w:rsidR="00CF758B" w:rsidRPr="00514F35" w:rsidRDefault="00CF758B" w:rsidP="00716916">
            <w:pPr>
              <w:widowControl w:val="0"/>
              <w:tabs>
                <w:tab w:val="right" w:leader="underscore" w:pos="9600"/>
              </w:tabs>
              <w:spacing w:line="360" w:lineRule="auto"/>
              <w:rPr>
                <w:rFonts w:ascii="Garamond" w:eastAsia="Calibri" w:hAnsi="Garamond"/>
                <w:b/>
              </w:rPr>
            </w:pPr>
            <w:r w:rsidRPr="00514F35">
              <w:rPr>
                <w:rFonts w:ascii="Garamond" w:eastAsia="Calibri" w:hAnsi="Garamond"/>
                <w:b/>
              </w:rPr>
              <w:t>Note (eventuali)</w:t>
            </w:r>
          </w:p>
        </w:tc>
        <w:tc>
          <w:tcPr>
            <w:tcW w:w="2389" w:type="dxa"/>
            <w:gridSpan w:val="2"/>
            <w:shd w:val="clear" w:color="auto" w:fill="D9D9D9" w:themeFill="background1" w:themeFillShade="D9"/>
          </w:tcPr>
          <w:p w14:paraId="20401A70" w14:textId="77FDF219" w:rsidR="00CF758B" w:rsidRPr="00514F35" w:rsidRDefault="00E80BDE" w:rsidP="00E80BDE">
            <w:pPr>
              <w:widowControl w:val="0"/>
              <w:tabs>
                <w:tab w:val="right" w:leader="underscore" w:pos="9600"/>
              </w:tabs>
              <w:spacing w:line="360" w:lineRule="auto"/>
              <w:jc w:val="both"/>
              <w:rPr>
                <w:rFonts w:ascii="Garamond" w:eastAsia="Calibri" w:hAnsi="Garamond"/>
              </w:rPr>
            </w:pPr>
            <w:r w:rsidRPr="00514F35">
              <w:rPr>
                <w:rFonts w:ascii="Garamond" w:eastAsia="Calibri" w:hAnsi="Garamond"/>
                <w:b/>
                <w:bCs/>
              </w:rPr>
              <w:t>Indicazione del documento e del relativo  n</w:t>
            </w:r>
            <w:r w:rsidR="00CF758B" w:rsidRPr="00514F35">
              <w:rPr>
                <w:rFonts w:ascii="Garamond" w:eastAsia="Calibri" w:hAnsi="Garamond"/>
                <w:b/>
                <w:bCs/>
              </w:rPr>
              <w:t xml:space="preserve">. </w:t>
            </w:r>
            <w:r w:rsidRPr="00514F35">
              <w:rPr>
                <w:rFonts w:ascii="Garamond" w:eastAsia="Calibri" w:hAnsi="Garamond"/>
                <w:b/>
                <w:bCs/>
              </w:rPr>
              <w:t xml:space="preserve">di </w:t>
            </w:r>
            <w:r w:rsidR="00CF758B" w:rsidRPr="00514F35">
              <w:rPr>
                <w:rFonts w:ascii="Garamond" w:eastAsia="Calibri" w:hAnsi="Garamond"/>
                <w:b/>
                <w:bCs/>
              </w:rPr>
              <w:t>pagina</w:t>
            </w:r>
            <w:r w:rsidR="00CF758B" w:rsidRPr="00514F35">
              <w:rPr>
                <w:rFonts w:ascii="Garamond" w:eastAsia="Calibri" w:hAnsi="Garamond"/>
              </w:rPr>
              <w:t xml:space="preserve"> </w:t>
            </w:r>
            <w:r w:rsidRPr="00514F35">
              <w:rPr>
                <w:rFonts w:ascii="Garamond" w:eastAsia="Calibri" w:hAnsi="Garamond"/>
                <w:b/>
              </w:rPr>
              <w:t>de</w:t>
            </w:r>
            <w:r w:rsidR="00CF758B" w:rsidRPr="00514F35">
              <w:rPr>
                <w:rFonts w:ascii="Garamond" w:eastAsia="Calibri" w:hAnsi="Garamond"/>
                <w:b/>
                <w:bCs/>
              </w:rPr>
              <w:t xml:space="preserve">lla </w:t>
            </w:r>
            <w:r w:rsidRPr="00514F35">
              <w:rPr>
                <w:rFonts w:ascii="Garamond" w:eastAsia="Calibri" w:hAnsi="Garamond"/>
                <w:b/>
                <w:bCs/>
              </w:rPr>
              <w:t xml:space="preserve">documentazione </w:t>
            </w:r>
            <w:r w:rsidR="00CF758B" w:rsidRPr="00514F35">
              <w:rPr>
                <w:rFonts w:ascii="Garamond" w:eastAsia="Calibri" w:hAnsi="Garamond"/>
                <w:b/>
                <w:bCs/>
              </w:rPr>
              <w:t xml:space="preserve"> tecnica</w:t>
            </w:r>
            <w:r w:rsidRPr="00514F35">
              <w:rPr>
                <w:rFonts w:ascii="Garamond" w:eastAsia="Calibri" w:hAnsi="Garamond"/>
                <w:b/>
                <w:bCs/>
              </w:rPr>
              <w:t xml:space="preserve"> dal</w:t>
            </w:r>
            <w:r w:rsidR="00CF758B" w:rsidRPr="00514F35">
              <w:rPr>
                <w:rFonts w:ascii="Garamond" w:eastAsia="Calibri" w:hAnsi="Garamond"/>
                <w:b/>
                <w:bCs/>
              </w:rPr>
              <w:t xml:space="preserve"> quale si evinca la presenza dell'elemento minimo </w:t>
            </w:r>
            <w:r w:rsidRPr="00514F35">
              <w:rPr>
                <w:rFonts w:ascii="Garamond" w:eastAsia="Calibri" w:hAnsi="Garamond"/>
                <w:b/>
                <w:bCs/>
              </w:rPr>
              <w:lastRenderedPageBreak/>
              <w:t>richiesto</w:t>
            </w:r>
          </w:p>
        </w:tc>
      </w:tr>
      <w:tr w:rsidR="00CF758B" w:rsidRPr="00514F35" w14:paraId="51C41499" w14:textId="77777777" w:rsidTr="00315259">
        <w:trPr>
          <w:gridAfter w:val="1"/>
          <w:wAfter w:w="7" w:type="dxa"/>
        </w:trPr>
        <w:tc>
          <w:tcPr>
            <w:tcW w:w="426" w:type="dxa"/>
          </w:tcPr>
          <w:p w14:paraId="64F6220B" w14:textId="1C4538BE" w:rsidR="00CF758B" w:rsidRPr="00514F35" w:rsidRDefault="004D1CCC" w:rsidP="00716916">
            <w:pPr>
              <w:widowControl w:val="0"/>
              <w:tabs>
                <w:tab w:val="right" w:leader="underscore" w:pos="9600"/>
              </w:tabs>
              <w:spacing w:line="360" w:lineRule="auto"/>
              <w:jc w:val="center"/>
              <w:rPr>
                <w:rFonts w:ascii="Garamond" w:eastAsia="Calibri" w:hAnsi="Garamond"/>
              </w:rPr>
            </w:pPr>
            <w:r w:rsidRPr="00514F35">
              <w:rPr>
                <w:rFonts w:ascii="Garamond" w:eastAsia="Calibri" w:hAnsi="Garamond"/>
              </w:rPr>
              <w:lastRenderedPageBreak/>
              <w:t>1</w:t>
            </w:r>
          </w:p>
        </w:tc>
        <w:tc>
          <w:tcPr>
            <w:tcW w:w="5557" w:type="dxa"/>
          </w:tcPr>
          <w:p w14:paraId="392054DE" w14:textId="2822E59F" w:rsidR="00C47839" w:rsidRPr="00514F35" w:rsidRDefault="00C47839" w:rsidP="00C47839">
            <w:pPr>
              <w:pStyle w:val="Default"/>
              <w:jc w:val="both"/>
              <w:rPr>
                <w:rFonts w:ascii="Garamond" w:eastAsia="Times New Roman" w:hAnsi="Garamond" w:cstheme="minorHAnsi"/>
                <w:sz w:val="22"/>
                <w:szCs w:val="22"/>
                <w:u w:val="single"/>
              </w:rPr>
            </w:pPr>
            <w:r w:rsidRPr="00514F35">
              <w:rPr>
                <w:rFonts w:ascii="Garamond" w:eastAsia="Times New Roman" w:hAnsi="Garamond" w:cstheme="minorHAnsi"/>
                <w:sz w:val="22"/>
                <w:szCs w:val="22"/>
                <w:u w:val="single"/>
              </w:rPr>
              <w:t xml:space="preserve">Specifiche del Sistema AFM </w:t>
            </w:r>
          </w:p>
          <w:p w14:paraId="2864A257" w14:textId="27A3B9AC"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Sistema a scansione di sonda AFM, completo di microscopio ottico in campo chiaro, con ottica 10x e sensore di acquisizione con risoluzione almeno 5 </w:t>
            </w:r>
            <w:proofErr w:type="spellStart"/>
            <w:r w:rsidRPr="00514F35">
              <w:rPr>
                <w:rFonts w:ascii="Garamond" w:eastAsia="Times New Roman" w:hAnsi="Garamond" w:cstheme="minorHAnsi"/>
                <w:sz w:val="22"/>
                <w:szCs w:val="22"/>
              </w:rPr>
              <w:t>MPixel</w:t>
            </w:r>
            <w:proofErr w:type="spellEnd"/>
            <w:r w:rsidRPr="00514F35">
              <w:rPr>
                <w:rFonts w:ascii="Garamond" w:eastAsia="Times New Roman" w:hAnsi="Garamond" w:cstheme="minorHAnsi"/>
                <w:sz w:val="22"/>
                <w:szCs w:val="22"/>
              </w:rPr>
              <w:t xml:space="preserve"> e stage </w:t>
            </w:r>
            <w:proofErr w:type="spellStart"/>
            <w:r w:rsidRPr="00514F35">
              <w:rPr>
                <w:rFonts w:ascii="Garamond" w:eastAsia="Times New Roman" w:hAnsi="Garamond" w:cstheme="minorHAnsi"/>
                <w:sz w:val="22"/>
                <w:szCs w:val="22"/>
              </w:rPr>
              <w:t>portacampione</w:t>
            </w:r>
            <w:proofErr w:type="spellEnd"/>
            <w:r w:rsidRPr="00514F35">
              <w:rPr>
                <w:rFonts w:ascii="Garamond" w:eastAsia="Times New Roman" w:hAnsi="Garamond" w:cstheme="minorHAnsi"/>
                <w:sz w:val="22"/>
                <w:szCs w:val="22"/>
              </w:rPr>
              <w:t xml:space="preserve"> motorizzato. </w:t>
            </w:r>
          </w:p>
          <w:p w14:paraId="37B4A757" w14:textId="65138D7E"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Scansione superficiale su area di almeno 50 </w:t>
            </w:r>
            <w:proofErr w:type="spellStart"/>
            <w:r w:rsidRPr="00514F35">
              <w:rPr>
                <w:rFonts w:ascii="Garamond" w:eastAsia="Times New Roman" w:hAnsi="Garamond" w:cstheme="minorHAnsi"/>
                <w:sz w:val="22"/>
                <w:szCs w:val="22"/>
              </w:rPr>
              <w:t>μm</w:t>
            </w:r>
            <w:proofErr w:type="spellEnd"/>
            <w:r w:rsidRPr="00514F35">
              <w:rPr>
                <w:rFonts w:ascii="Garamond" w:eastAsia="Times New Roman" w:hAnsi="Garamond" w:cstheme="minorHAnsi"/>
                <w:sz w:val="22"/>
                <w:szCs w:val="22"/>
              </w:rPr>
              <w:t xml:space="preserve"> x 50 </w:t>
            </w:r>
            <w:proofErr w:type="spellStart"/>
            <w:r w:rsidRPr="00514F35">
              <w:rPr>
                <w:rFonts w:ascii="Garamond" w:eastAsia="Times New Roman" w:hAnsi="Garamond" w:cstheme="minorHAnsi"/>
                <w:sz w:val="22"/>
                <w:szCs w:val="22"/>
              </w:rPr>
              <w:t>μm</w:t>
            </w:r>
            <w:proofErr w:type="spellEnd"/>
          </w:p>
          <w:p w14:paraId="2884963D" w14:textId="0BE4D6E5" w:rsidR="00C47839" w:rsidRPr="00514F35" w:rsidRDefault="00C47839" w:rsidP="00C47839">
            <w:pPr>
              <w:pStyle w:val="Default"/>
              <w:numPr>
                <w:ilvl w:val="0"/>
                <w:numId w:val="7"/>
              </w:numPr>
              <w:jc w:val="both"/>
              <w:rPr>
                <w:rFonts w:ascii="Garamond" w:eastAsia="Times New Roman" w:hAnsi="Garamond" w:cstheme="minorHAnsi"/>
                <w:sz w:val="22"/>
                <w:szCs w:val="22"/>
              </w:rPr>
            </w:pPr>
            <w:proofErr w:type="spellStart"/>
            <w:r w:rsidRPr="00514F35">
              <w:rPr>
                <w:rFonts w:ascii="Garamond" w:eastAsia="Times New Roman" w:hAnsi="Garamond" w:cstheme="minorHAnsi"/>
                <w:sz w:val="22"/>
                <w:szCs w:val="22"/>
              </w:rPr>
              <w:t>R</w:t>
            </w:r>
            <w:r w:rsidR="003A245E">
              <w:rPr>
                <w:rFonts w:ascii="Garamond" w:eastAsia="Times New Roman" w:hAnsi="Garamond" w:cstheme="minorHAnsi"/>
                <w:sz w:val="22"/>
                <w:szCs w:val="22"/>
              </w:rPr>
              <w:t>ange</w:t>
            </w:r>
            <w:proofErr w:type="spellEnd"/>
            <w:r w:rsidR="003A245E">
              <w:rPr>
                <w:rFonts w:ascii="Garamond" w:eastAsia="Times New Roman" w:hAnsi="Garamond" w:cstheme="minorHAnsi"/>
                <w:sz w:val="22"/>
                <w:szCs w:val="22"/>
              </w:rPr>
              <w:t xml:space="preserve"> di scansione lungo z: ≥ 4 </w:t>
            </w:r>
            <w:proofErr w:type="spellStart"/>
            <w:r w:rsidR="003A245E" w:rsidRPr="00514F35">
              <w:rPr>
                <w:rFonts w:ascii="Garamond" w:eastAsia="Times New Roman" w:hAnsi="Garamond" w:cstheme="minorHAnsi"/>
                <w:sz w:val="22"/>
                <w:szCs w:val="22"/>
              </w:rPr>
              <w:t>μ</w:t>
            </w:r>
            <w:r w:rsidRPr="00514F35">
              <w:rPr>
                <w:rFonts w:ascii="Garamond" w:eastAsia="Times New Roman" w:hAnsi="Garamond" w:cstheme="minorHAnsi"/>
                <w:sz w:val="22"/>
                <w:szCs w:val="22"/>
              </w:rPr>
              <w:t>m</w:t>
            </w:r>
            <w:proofErr w:type="spellEnd"/>
          </w:p>
          <w:p w14:paraId="01846FA4" w14:textId="2A52F789"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Possibilità di scansioni AFM in modalità </w:t>
            </w:r>
            <w:proofErr w:type="spellStart"/>
            <w:r w:rsidRPr="00514F35">
              <w:rPr>
                <w:rFonts w:ascii="Garamond" w:eastAsia="Times New Roman" w:hAnsi="Garamond" w:cstheme="minorHAnsi"/>
                <w:sz w:val="22"/>
                <w:szCs w:val="22"/>
              </w:rPr>
              <w:t>contact</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tapping</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phase</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contrast</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lateral</w:t>
            </w:r>
            <w:proofErr w:type="spellEnd"/>
            <w:r w:rsidRPr="00514F35">
              <w:rPr>
                <w:rFonts w:ascii="Garamond" w:eastAsia="Times New Roman" w:hAnsi="Garamond" w:cstheme="minorHAnsi"/>
                <w:sz w:val="22"/>
                <w:szCs w:val="22"/>
              </w:rPr>
              <w:t xml:space="preserve"> force, force vs. </w:t>
            </w:r>
            <w:proofErr w:type="spellStart"/>
            <w:r w:rsidRPr="00514F35">
              <w:rPr>
                <w:rFonts w:ascii="Garamond" w:eastAsia="Times New Roman" w:hAnsi="Garamond" w:cstheme="minorHAnsi"/>
                <w:sz w:val="22"/>
                <w:szCs w:val="22"/>
              </w:rPr>
              <w:t>distance</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curves</w:t>
            </w:r>
            <w:proofErr w:type="spellEnd"/>
            <w:r w:rsidRPr="00514F35">
              <w:rPr>
                <w:rFonts w:ascii="Garamond" w:eastAsia="Times New Roman" w:hAnsi="Garamond" w:cstheme="minorHAnsi"/>
                <w:sz w:val="22"/>
                <w:szCs w:val="22"/>
              </w:rPr>
              <w:t>, lift mode</w:t>
            </w:r>
          </w:p>
          <w:p w14:paraId="50BB9303" w14:textId="4CF459C6"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Rumore su a</w:t>
            </w:r>
            <w:r w:rsidR="007C542C">
              <w:rPr>
                <w:rFonts w:ascii="Garamond" w:eastAsia="Times New Roman" w:hAnsi="Garamond" w:cstheme="minorHAnsi"/>
                <w:sz w:val="22"/>
                <w:szCs w:val="22"/>
              </w:rPr>
              <w:t>sse z</w:t>
            </w:r>
            <w:r w:rsidRPr="00514F35">
              <w:rPr>
                <w:rFonts w:ascii="Garamond" w:eastAsia="Times New Roman" w:hAnsi="Garamond" w:cstheme="minorHAnsi"/>
                <w:sz w:val="22"/>
                <w:szCs w:val="22"/>
              </w:rPr>
              <w:t xml:space="preserve">&lt;150 </w:t>
            </w:r>
            <w:proofErr w:type="spellStart"/>
            <w:r w:rsidRPr="00514F35">
              <w:rPr>
                <w:rFonts w:ascii="Garamond" w:eastAsia="Times New Roman" w:hAnsi="Garamond" w:cstheme="minorHAnsi"/>
                <w:sz w:val="22"/>
                <w:szCs w:val="22"/>
              </w:rPr>
              <w:t>pm</w:t>
            </w:r>
            <w:proofErr w:type="spellEnd"/>
            <w:r w:rsidRPr="00514F35">
              <w:rPr>
                <w:rFonts w:ascii="Garamond" w:eastAsia="Times New Roman" w:hAnsi="Garamond" w:cstheme="minorHAnsi"/>
                <w:sz w:val="22"/>
                <w:szCs w:val="22"/>
              </w:rPr>
              <w:t xml:space="preserve"> RMS, con adeguato supporto (cfr</w:t>
            </w:r>
            <w:r w:rsidR="007C542C">
              <w:rPr>
                <w:rFonts w:ascii="Garamond" w:eastAsia="Times New Roman" w:hAnsi="Garamond" w:cstheme="minorHAnsi"/>
                <w:sz w:val="22"/>
                <w:szCs w:val="22"/>
              </w:rPr>
              <w:t>.</w:t>
            </w:r>
            <w:r w:rsidRPr="00514F35">
              <w:rPr>
                <w:rFonts w:ascii="Garamond" w:eastAsia="Times New Roman" w:hAnsi="Garamond" w:cstheme="minorHAnsi"/>
                <w:sz w:val="22"/>
                <w:szCs w:val="22"/>
              </w:rPr>
              <w:t xml:space="preserve"> punto 3 per tavolo antivibrante)</w:t>
            </w:r>
          </w:p>
          <w:p w14:paraId="4703A8EA" w14:textId="2D6332C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Risoluzione spaziale per l’analisi morfologica: </w:t>
            </w:r>
            <w:proofErr w:type="spellStart"/>
            <w:r w:rsidRPr="00514F35">
              <w:rPr>
                <w:rFonts w:ascii="Garamond" w:eastAsia="Times New Roman" w:hAnsi="Garamond" w:cstheme="minorHAnsi"/>
                <w:sz w:val="22"/>
                <w:szCs w:val="22"/>
              </w:rPr>
              <w:t>xy</w:t>
            </w:r>
            <w:proofErr w:type="spellEnd"/>
            <w:r w:rsidRPr="00514F35">
              <w:rPr>
                <w:rFonts w:ascii="Garamond" w:eastAsia="Times New Roman" w:hAnsi="Garamond" w:cstheme="minorHAnsi"/>
                <w:sz w:val="22"/>
                <w:szCs w:val="22"/>
              </w:rPr>
              <w:t xml:space="preserve"> &lt; 2 nm</w:t>
            </w:r>
          </w:p>
          <w:p w14:paraId="5184E885" w14:textId="24DD0923" w:rsidR="00CF758B" w:rsidRPr="00514F35" w:rsidRDefault="00C47839" w:rsidP="00C47839">
            <w:pPr>
              <w:pStyle w:val="Default"/>
              <w:numPr>
                <w:ilvl w:val="0"/>
                <w:numId w:val="7"/>
              </w:numPr>
              <w:jc w:val="both"/>
              <w:rPr>
                <w:rFonts w:ascii="Garamond" w:hAnsi="Garamond"/>
                <w:sz w:val="22"/>
                <w:szCs w:val="22"/>
                <w:lang w:eastAsia="ar-SA"/>
              </w:rPr>
            </w:pPr>
            <w:r w:rsidRPr="00514F35">
              <w:rPr>
                <w:rFonts w:ascii="Garamond" w:eastAsia="Times New Roman" w:hAnsi="Garamond" w:cstheme="minorHAnsi"/>
                <w:sz w:val="22"/>
                <w:szCs w:val="22"/>
              </w:rPr>
              <w:t xml:space="preserve">Risoluzione massima immagini acquisite: almeno 1024x1024 </w:t>
            </w:r>
            <w:proofErr w:type="spellStart"/>
            <w:r w:rsidRPr="00514F35">
              <w:rPr>
                <w:rFonts w:ascii="Garamond" w:eastAsia="Times New Roman" w:hAnsi="Garamond" w:cstheme="minorHAnsi"/>
                <w:sz w:val="22"/>
                <w:szCs w:val="22"/>
              </w:rPr>
              <w:t>pixels</w:t>
            </w:r>
            <w:proofErr w:type="spellEnd"/>
          </w:p>
        </w:tc>
        <w:tc>
          <w:tcPr>
            <w:tcW w:w="1701" w:type="dxa"/>
          </w:tcPr>
          <w:p w14:paraId="72D91F10" w14:textId="77777777" w:rsidR="00CF758B" w:rsidRPr="00514F35" w:rsidRDefault="00CF758B" w:rsidP="00716916">
            <w:pPr>
              <w:widowControl w:val="0"/>
              <w:tabs>
                <w:tab w:val="right" w:leader="underscore" w:pos="9600"/>
              </w:tabs>
              <w:spacing w:line="360" w:lineRule="auto"/>
              <w:rPr>
                <w:rFonts w:ascii="Garamond" w:eastAsia="Calibri" w:hAnsi="Garamond"/>
              </w:rPr>
            </w:pPr>
          </w:p>
        </w:tc>
        <w:tc>
          <w:tcPr>
            <w:tcW w:w="2382" w:type="dxa"/>
          </w:tcPr>
          <w:p w14:paraId="0E89A678" w14:textId="77777777" w:rsidR="00CF758B" w:rsidRPr="00514F35" w:rsidRDefault="00CF758B" w:rsidP="00716916">
            <w:pPr>
              <w:widowControl w:val="0"/>
              <w:tabs>
                <w:tab w:val="right" w:leader="underscore" w:pos="9600"/>
              </w:tabs>
              <w:spacing w:line="360" w:lineRule="auto"/>
              <w:rPr>
                <w:rFonts w:ascii="Garamond" w:eastAsia="Calibri" w:hAnsi="Garamond"/>
              </w:rPr>
            </w:pPr>
          </w:p>
        </w:tc>
      </w:tr>
      <w:tr w:rsidR="00C47839" w:rsidRPr="00514F35" w14:paraId="6535859A" w14:textId="77777777" w:rsidTr="00315259">
        <w:trPr>
          <w:gridAfter w:val="1"/>
          <w:wAfter w:w="7" w:type="dxa"/>
        </w:trPr>
        <w:tc>
          <w:tcPr>
            <w:tcW w:w="426" w:type="dxa"/>
          </w:tcPr>
          <w:p w14:paraId="7CA23E6F" w14:textId="7C8A8773" w:rsidR="00C47839" w:rsidRPr="00514F35" w:rsidRDefault="00C47839" w:rsidP="00716916">
            <w:pPr>
              <w:widowControl w:val="0"/>
              <w:tabs>
                <w:tab w:val="right" w:leader="underscore" w:pos="9600"/>
              </w:tabs>
              <w:spacing w:line="360" w:lineRule="auto"/>
              <w:jc w:val="center"/>
              <w:rPr>
                <w:rFonts w:ascii="Garamond" w:eastAsia="Calibri" w:hAnsi="Garamond"/>
              </w:rPr>
            </w:pPr>
            <w:r w:rsidRPr="00514F35">
              <w:rPr>
                <w:rFonts w:ascii="Garamond" w:eastAsia="Calibri" w:hAnsi="Garamond"/>
              </w:rPr>
              <w:t>2</w:t>
            </w:r>
          </w:p>
        </w:tc>
        <w:tc>
          <w:tcPr>
            <w:tcW w:w="5557" w:type="dxa"/>
          </w:tcPr>
          <w:p w14:paraId="52F4A822" w14:textId="77777777" w:rsidR="00C47839" w:rsidRPr="00514F35" w:rsidRDefault="00C47839" w:rsidP="00C47839">
            <w:pPr>
              <w:pStyle w:val="Default"/>
              <w:jc w:val="both"/>
              <w:rPr>
                <w:rFonts w:ascii="Garamond" w:eastAsia="Times New Roman" w:hAnsi="Garamond" w:cstheme="minorHAnsi"/>
                <w:sz w:val="22"/>
                <w:szCs w:val="22"/>
                <w:u w:val="single"/>
              </w:rPr>
            </w:pPr>
            <w:r w:rsidRPr="00514F35">
              <w:rPr>
                <w:rFonts w:ascii="Garamond" w:eastAsia="Times New Roman" w:hAnsi="Garamond" w:cstheme="minorHAnsi"/>
                <w:sz w:val="22"/>
                <w:szCs w:val="22"/>
                <w:u w:val="single"/>
              </w:rPr>
              <w:t>Specifiche Sistema spettroscopico IR</w:t>
            </w:r>
          </w:p>
          <w:p w14:paraId="2B4C1783"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Sistema di misura nel medio infrarosso per analisi localizzata sotto la punta AFM, che permetta acquisizioni in:</w:t>
            </w:r>
          </w:p>
          <w:p w14:paraId="212EC0C7" w14:textId="77777777" w:rsidR="00C47839" w:rsidRPr="00514F35" w:rsidRDefault="00C47839" w:rsidP="00C47839">
            <w:pPr>
              <w:pStyle w:val="Default"/>
              <w:numPr>
                <w:ilvl w:val="0"/>
                <w:numId w:val="13"/>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assorbimento, basato sulla misura di risonanza fototermica mediante oscillazione del cantilever, a seguito di assorbimento IR del substrato (</w:t>
            </w:r>
            <w:proofErr w:type="spellStart"/>
            <w:r w:rsidRPr="00514F35">
              <w:rPr>
                <w:rFonts w:ascii="Garamond" w:eastAsia="Times New Roman" w:hAnsi="Garamond" w:cstheme="minorHAnsi"/>
                <w:sz w:val="22"/>
                <w:szCs w:val="22"/>
              </w:rPr>
              <w:t>Photothermal</w:t>
            </w:r>
            <w:proofErr w:type="spellEnd"/>
            <w:r w:rsidRPr="00514F35">
              <w:rPr>
                <w:rFonts w:ascii="Garamond" w:eastAsia="Times New Roman" w:hAnsi="Garamond" w:cstheme="minorHAnsi"/>
                <w:sz w:val="22"/>
                <w:szCs w:val="22"/>
              </w:rPr>
              <w:t xml:space="preserve"> AFM-IR), contemporaneamente alla misura topografica.</w:t>
            </w:r>
          </w:p>
          <w:p w14:paraId="19A65103" w14:textId="77777777" w:rsidR="00C47839" w:rsidRPr="00514F35" w:rsidRDefault="00C47839" w:rsidP="00C47839">
            <w:pPr>
              <w:pStyle w:val="Default"/>
              <w:numPr>
                <w:ilvl w:val="0"/>
                <w:numId w:val="13"/>
              </w:numPr>
              <w:jc w:val="both"/>
              <w:rPr>
                <w:rFonts w:ascii="Garamond" w:eastAsia="Times New Roman" w:hAnsi="Garamond" w:cstheme="minorHAnsi"/>
                <w:sz w:val="22"/>
                <w:szCs w:val="22"/>
              </w:rPr>
            </w:pPr>
            <w:proofErr w:type="spellStart"/>
            <w:r w:rsidRPr="00514F35">
              <w:rPr>
                <w:rFonts w:ascii="Garamond" w:eastAsia="Times New Roman" w:hAnsi="Garamond" w:cstheme="minorHAnsi"/>
                <w:sz w:val="22"/>
                <w:szCs w:val="22"/>
              </w:rPr>
              <w:t>scattering</w:t>
            </w:r>
            <w:proofErr w:type="spellEnd"/>
            <w:r w:rsidRPr="00514F35">
              <w:rPr>
                <w:rFonts w:ascii="Garamond" w:eastAsia="Times New Roman" w:hAnsi="Garamond" w:cstheme="minorHAnsi"/>
                <w:sz w:val="22"/>
                <w:szCs w:val="22"/>
              </w:rPr>
              <w:t xml:space="preserve"> sulla superficie, mediante spettroscopia in campo prossimo (</w:t>
            </w:r>
            <w:proofErr w:type="spellStart"/>
            <w:r w:rsidRPr="00514F35">
              <w:rPr>
                <w:rFonts w:ascii="Garamond" w:eastAsia="Times New Roman" w:hAnsi="Garamond" w:cstheme="minorHAnsi"/>
                <w:sz w:val="22"/>
                <w:szCs w:val="22"/>
              </w:rPr>
              <w:t>scattering-type</w:t>
            </w:r>
            <w:proofErr w:type="spellEnd"/>
            <w:r w:rsidRPr="00514F35">
              <w:rPr>
                <w:rFonts w:ascii="Garamond" w:eastAsia="Times New Roman" w:hAnsi="Garamond" w:cstheme="minorHAnsi"/>
                <w:sz w:val="22"/>
                <w:szCs w:val="22"/>
              </w:rPr>
              <w:t xml:space="preserve"> Scanning </w:t>
            </w:r>
            <w:proofErr w:type="spellStart"/>
            <w:r w:rsidRPr="00514F35">
              <w:rPr>
                <w:rFonts w:ascii="Garamond" w:eastAsia="Times New Roman" w:hAnsi="Garamond" w:cstheme="minorHAnsi"/>
                <w:sz w:val="22"/>
                <w:szCs w:val="22"/>
              </w:rPr>
              <w:t>Near</w:t>
            </w:r>
            <w:proofErr w:type="spellEnd"/>
            <w:r w:rsidRPr="00514F35">
              <w:rPr>
                <w:rFonts w:ascii="Garamond" w:eastAsia="Times New Roman" w:hAnsi="Garamond" w:cstheme="minorHAnsi"/>
                <w:sz w:val="22"/>
                <w:szCs w:val="22"/>
              </w:rPr>
              <w:t xml:space="preserve"> </w:t>
            </w:r>
            <w:proofErr w:type="spellStart"/>
            <w:r w:rsidRPr="00514F35">
              <w:rPr>
                <w:rFonts w:ascii="Garamond" w:eastAsia="Times New Roman" w:hAnsi="Garamond" w:cstheme="minorHAnsi"/>
                <w:sz w:val="22"/>
                <w:szCs w:val="22"/>
              </w:rPr>
              <w:t>field</w:t>
            </w:r>
            <w:proofErr w:type="spellEnd"/>
            <w:r w:rsidRPr="00514F35">
              <w:rPr>
                <w:rFonts w:ascii="Garamond" w:eastAsia="Times New Roman" w:hAnsi="Garamond" w:cstheme="minorHAnsi"/>
                <w:sz w:val="22"/>
                <w:szCs w:val="22"/>
              </w:rPr>
              <w:t xml:space="preserve"> Optical </w:t>
            </w:r>
            <w:proofErr w:type="spellStart"/>
            <w:r w:rsidRPr="00514F35">
              <w:rPr>
                <w:rFonts w:ascii="Garamond" w:eastAsia="Times New Roman" w:hAnsi="Garamond" w:cstheme="minorHAnsi"/>
                <w:sz w:val="22"/>
                <w:szCs w:val="22"/>
              </w:rPr>
              <w:t>Microscopy</w:t>
            </w:r>
            <w:proofErr w:type="spellEnd"/>
            <w:r w:rsidRPr="00514F35">
              <w:rPr>
                <w:rFonts w:ascii="Garamond" w:eastAsia="Times New Roman" w:hAnsi="Garamond" w:cstheme="minorHAnsi"/>
                <w:sz w:val="22"/>
                <w:szCs w:val="22"/>
              </w:rPr>
              <w:t xml:space="preserve"> – s-SNOM), tramite acquisizioni di fase in campo prossimo e intensità in campo prossimo, contemporaneamente alla misura topografica.</w:t>
            </w:r>
          </w:p>
          <w:p w14:paraId="1C7E94D8"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Risoluzione spaziale per l’analisi composizionale IR: &lt; 20 nm</w:t>
            </w:r>
          </w:p>
          <w:p w14:paraId="3F20D126"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Intervallo spettrale coperto dalla/sorgente/i laser per le misure in modalità </w:t>
            </w:r>
            <w:proofErr w:type="spellStart"/>
            <w:r w:rsidRPr="00514F35">
              <w:rPr>
                <w:rFonts w:ascii="Garamond" w:eastAsia="Times New Roman" w:hAnsi="Garamond" w:cstheme="minorHAnsi"/>
                <w:sz w:val="22"/>
                <w:szCs w:val="22"/>
              </w:rPr>
              <w:t>Photothermal</w:t>
            </w:r>
            <w:proofErr w:type="spellEnd"/>
            <w:r w:rsidRPr="00514F35">
              <w:rPr>
                <w:rFonts w:ascii="Garamond" w:eastAsia="Times New Roman" w:hAnsi="Garamond" w:cstheme="minorHAnsi"/>
                <w:sz w:val="22"/>
                <w:szCs w:val="22"/>
              </w:rPr>
              <w:t xml:space="preserve"> AFM-IR:</w:t>
            </w:r>
          </w:p>
          <w:p w14:paraId="69047EDC" w14:textId="31FE4F2A" w:rsidR="00C47839" w:rsidRPr="00514F35" w:rsidRDefault="00C47839" w:rsidP="00C47839">
            <w:pPr>
              <w:pStyle w:val="Default"/>
              <w:numPr>
                <w:ilvl w:val="0"/>
                <w:numId w:val="15"/>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2750 e 3500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6C83B8E0" w14:textId="2AA3D874" w:rsidR="00C47839" w:rsidRPr="00514F35" w:rsidRDefault="00C47839" w:rsidP="00C47839">
            <w:pPr>
              <w:pStyle w:val="Default"/>
              <w:numPr>
                <w:ilvl w:val="0"/>
                <w:numId w:val="15"/>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1500 e 1850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14586C5A" w14:textId="3B39BDEA" w:rsidR="00C47839" w:rsidRPr="00514F35" w:rsidRDefault="00C47839" w:rsidP="00C47839">
            <w:pPr>
              <w:pStyle w:val="Default"/>
              <w:numPr>
                <w:ilvl w:val="0"/>
                <w:numId w:val="15"/>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1360 e 1460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1F417FA8" w14:textId="5C2414B2" w:rsidR="00C47839" w:rsidRPr="00514F35" w:rsidRDefault="00C47839" w:rsidP="00C47839">
            <w:pPr>
              <w:pStyle w:val="Default"/>
              <w:numPr>
                <w:ilvl w:val="0"/>
                <w:numId w:val="15"/>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950 e 1150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2ECB0408"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Intervallo spettrale coperto dalla/sorgente/i laser per le misure in modalità s-SNOM:</w:t>
            </w:r>
          </w:p>
          <w:p w14:paraId="3D6682FE" w14:textId="1104DD2D" w:rsidR="00C47839" w:rsidRPr="00514F35" w:rsidRDefault="00C47839" w:rsidP="00C47839">
            <w:pPr>
              <w:pStyle w:val="Default"/>
              <w:numPr>
                <w:ilvl w:val="0"/>
                <w:numId w:val="14"/>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1500 e 1850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20BC2D2E" w14:textId="7D05FB9B" w:rsidR="00C47839" w:rsidRPr="00514F35" w:rsidRDefault="00C47839" w:rsidP="00C47839">
            <w:pPr>
              <w:pStyle w:val="Default"/>
              <w:numPr>
                <w:ilvl w:val="0"/>
                <w:numId w:val="14"/>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1360 e 1460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6E1E0E8E" w14:textId="5C2B3977" w:rsidR="00C47839" w:rsidRPr="00514F35" w:rsidRDefault="00C47839" w:rsidP="00C47839">
            <w:pPr>
              <w:pStyle w:val="Default"/>
              <w:numPr>
                <w:ilvl w:val="0"/>
                <w:numId w:val="14"/>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copertura completa, senza interruzioni, nell’intervallo tra 950 e 1150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12215D6B" w14:textId="77777777" w:rsidR="00C47839" w:rsidRPr="00514F35" w:rsidRDefault="00C47839" w:rsidP="00C47839">
            <w:pPr>
              <w:pStyle w:val="Default"/>
              <w:numPr>
                <w:ilvl w:val="0"/>
                <w:numId w:val="7"/>
              </w:numPr>
              <w:jc w:val="both"/>
              <w:rPr>
                <w:rFonts w:ascii="Garamond" w:hAnsi="Garamond" w:cs="Calibri"/>
                <w:sz w:val="22"/>
                <w:szCs w:val="22"/>
              </w:rPr>
            </w:pPr>
            <w:r w:rsidRPr="00514F35">
              <w:rPr>
                <w:rFonts w:ascii="Garamond" w:eastAsia="Times New Roman" w:hAnsi="Garamond" w:cstheme="minorHAnsi"/>
                <w:sz w:val="22"/>
                <w:szCs w:val="22"/>
              </w:rPr>
              <w:t>Caratteristiche della/e sorgente/i laser:</w:t>
            </w:r>
          </w:p>
          <w:p w14:paraId="250980DA" w14:textId="51DB4BF3" w:rsidR="00C47839" w:rsidRPr="00514F35" w:rsidRDefault="00C47839" w:rsidP="00C47839">
            <w:pPr>
              <w:pStyle w:val="Default"/>
              <w:numPr>
                <w:ilvl w:val="0"/>
                <w:numId w:val="16"/>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Risoluzione ≤ 1 cm-1 nella regione 950-1850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78A100C3" w14:textId="2045B319" w:rsidR="00C47839" w:rsidRPr="00514F35" w:rsidRDefault="00C47839" w:rsidP="00C47839">
            <w:pPr>
              <w:pStyle w:val="Default"/>
              <w:numPr>
                <w:ilvl w:val="0"/>
                <w:numId w:val="16"/>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Risoluzione ≤ 10 c</w:t>
            </w:r>
            <w:r w:rsidR="007C542C">
              <w:rPr>
                <w:rFonts w:ascii="Garamond" w:eastAsia="Times New Roman" w:hAnsi="Garamond" w:cstheme="minorHAnsi"/>
                <w:sz w:val="22"/>
                <w:szCs w:val="22"/>
              </w:rPr>
              <w:t xml:space="preserve">m-1 nella regione 2750-3500 </w:t>
            </w:r>
            <w:r w:rsidR="007C542C" w:rsidRPr="007C542C">
              <w:rPr>
                <w:rFonts w:ascii="Garamond" w:hAnsi="Garamond"/>
                <w:sz w:val="22"/>
                <w:szCs w:val="22"/>
              </w:rPr>
              <w:t>cm</w:t>
            </w:r>
            <w:r w:rsidR="007C542C" w:rsidRPr="007C542C">
              <w:rPr>
                <w:rFonts w:ascii="Garamond" w:hAnsi="Garamond"/>
                <w:sz w:val="22"/>
                <w:szCs w:val="22"/>
                <w:vertAlign w:val="superscript"/>
              </w:rPr>
              <w:t>-1</w:t>
            </w:r>
          </w:p>
          <w:p w14:paraId="53A72350" w14:textId="77777777" w:rsidR="00C47839" w:rsidRPr="00514F35" w:rsidRDefault="00C47839" w:rsidP="00C47839">
            <w:pPr>
              <w:pStyle w:val="Default"/>
              <w:numPr>
                <w:ilvl w:val="0"/>
                <w:numId w:val="16"/>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Completa/e con sistema di raffreddamento dedicato, qualora necessario</w:t>
            </w:r>
          </w:p>
          <w:p w14:paraId="4E02923F" w14:textId="77777777" w:rsidR="00C47839" w:rsidRPr="00514F35" w:rsidRDefault="00C47839" w:rsidP="00C47839">
            <w:pPr>
              <w:pStyle w:val="Default"/>
              <w:numPr>
                <w:ilvl w:val="0"/>
                <w:numId w:val="16"/>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A fronte di potenze emesse dei laser dipendenti dalla lunghezza d’onda, l’intensità dei laser deve essere automaticamente regolata dal software di controllo al fine di mantenere condizioni di misura ottimali </w:t>
            </w:r>
          </w:p>
          <w:p w14:paraId="53B16117"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Possibilità di acquisire spettri IR ad alta risoluzione in corrispondenza di punti selezionati sulla mappa topografica, sia in modalità </w:t>
            </w:r>
            <w:proofErr w:type="spellStart"/>
            <w:r w:rsidRPr="00514F35">
              <w:rPr>
                <w:rFonts w:ascii="Garamond" w:eastAsia="Times New Roman" w:hAnsi="Garamond" w:cstheme="minorHAnsi"/>
                <w:sz w:val="22"/>
                <w:szCs w:val="22"/>
              </w:rPr>
              <w:t>Photothermal</w:t>
            </w:r>
            <w:proofErr w:type="spellEnd"/>
            <w:r w:rsidRPr="00514F35">
              <w:rPr>
                <w:rFonts w:ascii="Garamond" w:eastAsia="Times New Roman" w:hAnsi="Garamond" w:cstheme="minorHAnsi"/>
                <w:sz w:val="22"/>
                <w:szCs w:val="22"/>
              </w:rPr>
              <w:t xml:space="preserve"> AFM-IR sia in modalità s-SNOM</w:t>
            </w:r>
          </w:p>
          <w:p w14:paraId="56E67FE7"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Possibilità di eseguire mappature composizionali della superficie a numeri d’onda prefissati, sia in modalità </w:t>
            </w:r>
            <w:proofErr w:type="spellStart"/>
            <w:r w:rsidRPr="00514F35">
              <w:rPr>
                <w:rFonts w:ascii="Garamond" w:eastAsia="Times New Roman" w:hAnsi="Garamond" w:cstheme="minorHAnsi"/>
                <w:sz w:val="22"/>
                <w:szCs w:val="22"/>
              </w:rPr>
              <w:t>Photothermal</w:t>
            </w:r>
            <w:proofErr w:type="spellEnd"/>
            <w:r w:rsidRPr="00514F35">
              <w:rPr>
                <w:rFonts w:ascii="Garamond" w:eastAsia="Times New Roman" w:hAnsi="Garamond" w:cstheme="minorHAnsi"/>
                <w:sz w:val="22"/>
                <w:szCs w:val="22"/>
              </w:rPr>
              <w:t xml:space="preserve"> AFM-IR sia in modalità s-SNOM</w:t>
            </w:r>
          </w:p>
          <w:p w14:paraId="63C5A4DF"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Possibilità di acquisire spettri IR per ogni punto durante la scansione e successivamente visualizzare lo spettro IR su punti selezionati della mappa morfologica acquisita, mediante apposito software di elaborazione </w:t>
            </w:r>
            <w:proofErr w:type="spellStart"/>
            <w:r w:rsidRPr="00514F35">
              <w:rPr>
                <w:rFonts w:ascii="Garamond" w:eastAsia="Times New Roman" w:hAnsi="Garamond" w:cstheme="minorHAnsi"/>
                <w:sz w:val="22"/>
                <w:szCs w:val="22"/>
              </w:rPr>
              <w:t>iperspettrale</w:t>
            </w:r>
            <w:proofErr w:type="spellEnd"/>
            <w:r w:rsidRPr="00514F35">
              <w:rPr>
                <w:rFonts w:ascii="Garamond" w:eastAsia="Times New Roman" w:hAnsi="Garamond" w:cstheme="minorHAnsi"/>
                <w:sz w:val="22"/>
                <w:szCs w:val="22"/>
              </w:rPr>
              <w:t xml:space="preserve"> dei dati morfologici e composizionali</w:t>
            </w:r>
          </w:p>
          <w:p w14:paraId="3052E4B1"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Predisposizione per l’eventuale futuro upgrade del sistema spettroscopico con altre sorgenti laser ad estensione dello spettro medio infrarosso. A tal proposito, il sistema deve includere un laser </w:t>
            </w:r>
            <w:proofErr w:type="spellStart"/>
            <w:r w:rsidRPr="00514F35">
              <w:rPr>
                <w:rFonts w:ascii="Garamond" w:eastAsia="Times New Roman" w:hAnsi="Garamond" w:cstheme="minorHAnsi"/>
                <w:sz w:val="22"/>
                <w:szCs w:val="22"/>
              </w:rPr>
              <w:t>switch</w:t>
            </w:r>
            <w:proofErr w:type="spellEnd"/>
            <w:r w:rsidRPr="00514F35">
              <w:rPr>
                <w:rFonts w:ascii="Garamond" w:eastAsia="Times New Roman" w:hAnsi="Garamond" w:cstheme="minorHAnsi"/>
                <w:sz w:val="22"/>
                <w:szCs w:val="22"/>
              </w:rPr>
              <w:t xml:space="preserve"> con almeno un canale libero per l’eventuale integrazione di una sorgente laser aggiuntiva.</w:t>
            </w:r>
          </w:p>
          <w:p w14:paraId="77423377" w14:textId="44462B37" w:rsidR="00C47839" w:rsidRPr="00514F35" w:rsidRDefault="00C47839" w:rsidP="00C47839">
            <w:pPr>
              <w:pStyle w:val="Default"/>
              <w:jc w:val="both"/>
              <w:rPr>
                <w:rFonts w:ascii="Garamond" w:eastAsia="Times New Roman" w:hAnsi="Garamond" w:cstheme="minorHAnsi"/>
                <w:sz w:val="22"/>
                <w:szCs w:val="22"/>
                <w:u w:val="single"/>
              </w:rPr>
            </w:pPr>
          </w:p>
        </w:tc>
        <w:tc>
          <w:tcPr>
            <w:tcW w:w="1701" w:type="dxa"/>
          </w:tcPr>
          <w:p w14:paraId="41BD41E9" w14:textId="77777777" w:rsidR="00C47839" w:rsidRPr="00514F35" w:rsidRDefault="00C47839" w:rsidP="00716916">
            <w:pPr>
              <w:widowControl w:val="0"/>
              <w:tabs>
                <w:tab w:val="right" w:leader="underscore" w:pos="9600"/>
              </w:tabs>
              <w:spacing w:line="360" w:lineRule="auto"/>
              <w:rPr>
                <w:rFonts w:ascii="Garamond" w:eastAsia="Calibri" w:hAnsi="Garamond"/>
              </w:rPr>
            </w:pPr>
          </w:p>
        </w:tc>
        <w:tc>
          <w:tcPr>
            <w:tcW w:w="2382" w:type="dxa"/>
          </w:tcPr>
          <w:p w14:paraId="14964DDB" w14:textId="77777777" w:rsidR="00C47839" w:rsidRPr="00514F35" w:rsidRDefault="00C47839" w:rsidP="00716916">
            <w:pPr>
              <w:widowControl w:val="0"/>
              <w:tabs>
                <w:tab w:val="right" w:leader="underscore" w:pos="9600"/>
              </w:tabs>
              <w:spacing w:line="360" w:lineRule="auto"/>
              <w:rPr>
                <w:rFonts w:ascii="Garamond" w:eastAsia="Calibri" w:hAnsi="Garamond"/>
              </w:rPr>
            </w:pPr>
          </w:p>
        </w:tc>
      </w:tr>
      <w:tr w:rsidR="00C47839" w:rsidRPr="00514F35" w14:paraId="492359CD" w14:textId="77777777" w:rsidTr="00315259">
        <w:trPr>
          <w:gridAfter w:val="1"/>
          <w:wAfter w:w="7" w:type="dxa"/>
        </w:trPr>
        <w:tc>
          <w:tcPr>
            <w:tcW w:w="426" w:type="dxa"/>
          </w:tcPr>
          <w:p w14:paraId="195E17A3" w14:textId="1383F109" w:rsidR="00C47839" w:rsidRPr="00514F35" w:rsidRDefault="00C47839" w:rsidP="00716916">
            <w:pPr>
              <w:widowControl w:val="0"/>
              <w:tabs>
                <w:tab w:val="right" w:leader="underscore" w:pos="9600"/>
              </w:tabs>
              <w:spacing w:line="360" w:lineRule="auto"/>
              <w:jc w:val="center"/>
              <w:rPr>
                <w:rFonts w:ascii="Garamond" w:eastAsia="Calibri" w:hAnsi="Garamond"/>
              </w:rPr>
            </w:pPr>
            <w:r w:rsidRPr="00514F35">
              <w:rPr>
                <w:rFonts w:ascii="Garamond" w:eastAsia="Calibri" w:hAnsi="Garamond"/>
              </w:rPr>
              <w:t>3</w:t>
            </w:r>
          </w:p>
        </w:tc>
        <w:tc>
          <w:tcPr>
            <w:tcW w:w="5557" w:type="dxa"/>
          </w:tcPr>
          <w:p w14:paraId="76413682" w14:textId="77777777" w:rsidR="00C47839" w:rsidRPr="00514F35" w:rsidRDefault="00C47839" w:rsidP="00C47839">
            <w:pPr>
              <w:pStyle w:val="Default"/>
              <w:jc w:val="both"/>
              <w:rPr>
                <w:rFonts w:ascii="Garamond" w:eastAsia="Times New Roman" w:hAnsi="Garamond" w:cstheme="minorHAnsi"/>
                <w:sz w:val="22"/>
                <w:szCs w:val="22"/>
                <w:u w:val="single"/>
              </w:rPr>
            </w:pPr>
            <w:r w:rsidRPr="00514F35">
              <w:rPr>
                <w:rFonts w:ascii="Garamond" w:eastAsia="Times New Roman" w:hAnsi="Garamond" w:cstheme="minorHAnsi"/>
                <w:sz w:val="22"/>
                <w:szCs w:val="22"/>
                <w:u w:val="single"/>
              </w:rPr>
              <w:t>Specifiche del tavolo antivibrante</w:t>
            </w:r>
          </w:p>
          <w:p w14:paraId="58BBD8A7"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Il sistema deve essere fornito completo di tavolo antivibrante con isolatori pneumatici, per il disaccoppiamento dalle vibrazioni ambientali. Il tavolo deve essere di tipo “</w:t>
            </w:r>
            <w:proofErr w:type="spellStart"/>
            <w:r w:rsidRPr="00514F35">
              <w:rPr>
                <w:rFonts w:ascii="Garamond" w:eastAsia="Times New Roman" w:hAnsi="Garamond" w:cstheme="minorHAnsi"/>
                <w:sz w:val="22"/>
                <w:szCs w:val="22"/>
              </w:rPr>
              <w:t>breadboard</w:t>
            </w:r>
            <w:proofErr w:type="spellEnd"/>
            <w:r w:rsidRPr="00514F35">
              <w:rPr>
                <w:rFonts w:ascii="Garamond" w:eastAsia="Times New Roman" w:hAnsi="Garamond" w:cstheme="minorHAnsi"/>
                <w:sz w:val="22"/>
                <w:szCs w:val="22"/>
              </w:rPr>
              <w:t xml:space="preserve">” costituito da strati vincolati in lamiera d’acciaio a nido d’ape e finitura dei bordi in materiale composito (o costruzione equivalente), con superficie superiore in acciaio Inox, planarità almeno entro ±0.1 mm su 500 </w:t>
            </w:r>
            <w:r w:rsidRPr="00514F35">
              <w:rPr>
                <w:rFonts w:ascii="Garamond" w:eastAsia="Times New Roman" w:hAnsi="Garamond"/>
                <w:i/>
                <w:iCs/>
                <w:sz w:val="22"/>
                <w:szCs w:val="22"/>
              </w:rPr>
              <w:t>mm2</w:t>
            </w:r>
            <w:r w:rsidRPr="00514F35">
              <w:rPr>
                <w:rFonts w:ascii="Garamond" w:eastAsia="Times New Roman" w:hAnsi="Garamond" w:cstheme="minorHAnsi"/>
                <w:sz w:val="22"/>
                <w:szCs w:val="22"/>
              </w:rPr>
              <w:t>, con foratura di fissaggio a fori M6 disposti a griglia di 25 mm.</w:t>
            </w:r>
          </w:p>
          <w:p w14:paraId="39736F5C"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Il tavolo deve garantire, sia per vibrazione orizzontali che per vibrazioni verticali, una riduzione delle vibrazioni almeno del 90% a 5 Hz e al 95% a 10 Hz.</w:t>
            </w:r>
          </w:p>
          <w:p w14:paraId="1C83FD75"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Le dimensioni e la portata del tavolo devono essere sufficienti a supportare il sistema AFM/</w:t>
            </w:r>
            <w:proofErr w:type="spellStart"/>
            <w:r w:rsidRPr="00514F35">
              <w:rPr>
                <w:rFonts w:ascii="Garamond" w:eastAsia="Times New Roman" w:hAnsi="Garamond" w:cstheme="minorHAnsi"/>
                <w:sz w:val="22"/>
                <w:szCs w:val="22"/>
              </w:rPr>
              <w:t>nanoIR</w:t>
            </w:r>
            <w:proofErr w:type="spellEnd"/>
            <w:r w:rsidRPr="00514F35">
              <w:rPr>
                <w:rFonts w:ascii="Garamond" w:eastAsia="Times New Roman" w:hAnsi="Garamond" w:cstheme="minorHAnsi"/>
                <w:sz w:val="22"/>
                <w:szCs w:val="22"/>
              </w:rPr>
              <w:t>, completo della/le sorgente/i laser ed una eventuale sorgente laser aggiuntiva per un possibile futuro upgrade, dalle dimensioni e peso pari a quella/e inclusa/e nella configurazione oggetto della gara.</w:t>
            </w:r>
          </w:p>
          <w:p w14:paraId="49BD7A1E" w14:textId="5E9787CA" w:rsidR="00C47839" w:rsidRPr="00514F35" w:rsidRDefault="00C47839" w:rsidP="00C47839">
            <w:pPr>
              <w:pStyle w:val="Default"/>
              <w:jc w:val="both"/>
              <w:rPr>
                <w:rFonts w:ascii="Garamond" w:eastAsia="Times New Roman" w:hAnsi="Garamond" w:cstheme="minorHAnsi"/>
                <w:sz w:val="22"/>
                <w:szCs w:val="22"/>
                <w:u w:val="single"/>
              </w:rPr>
            </w:pPr>
          </w:p>
        </w:tc>
        <w:tc>
          <w:tcPr>
            <w:tcW w:w="1701" w:type="dxa"/>
          </w:tcPr>
          <w:p w14:paraId="0502A9B1" w14:textId="77777777" w:rsidR="00C47839" w:rsidRPr="00514F35" w:rsidRDefault="00C47839" w:rsidP="00716916">
            <w:pPr>
              <w:widowControl w:val="0"/>
              <w:tabs>
                <w:tab w:val="right" w:leader="underscore" w:pos="9600"/>
              </w:tabs>
              <w:spacing w:line="360" w:lineRule="auto"/>
              <w:rPr>
                <w:rFonts w:ascii="Garamond" w:eastAsia="Calibri" w:hAnsi="Garamond"/>
              </w:rPr>
            </w:pPr>
          </w:p>
        </w:tc>
        <w:tc>
          <w:tcPr>
            <w:tcW w:w="2382" w:type="dxa"/>
          </w:tcPr>
          <w:p w14:paraId="5234A824" w14:textId="77777777" w:rsidR="00C47839" w:rsidRPr="00514F35" w:rsidRDefault="00C47839" w:rsidP="00716916">
            <w:pPr>
              <w:widowControl w:val="0"/>
              <w:tabs>
                <w:tab w:val="right" w:leader="underscore" w:pos="9600"/>
              </w:tabs>
              <w:spacing w:line="360" w:lineRule="auto"/>
              <w:rPr>
                <w:rFonts w:ascii="Garamond" w:eastAsia="Calibri" w:hAnsi="Garamond"/>
              </w:rPr>
            </w:pPr>
          </w:p>
        </w:tc>
      </w:tr>
      <w:tr w:rsidR="00C47839" w:rsidRPr="00514F35" w14:paraId="38FF90DE" w14:textId="77777777" w:rsidTr="00315259">
        <w:trPr>
          <w:gridAfter w:val="1"/>
          <w:wAfter w:w="7" w:type="dxa"/>
        </w:trPr>
        <w:tc>
          <w:tcPr>
            <w:tcW w:w="426" w:type="dxa"/>
          </w:tcPr>
          <w:p w14:paraId="29D42074" w14:textId="3635E811" w:rsidR="00C47839" w:rsidRPr="00514F35" w:rsidRDefault="00C47839" w:rsidP="00716916">
            <w:pPr>
              <w:widowControl w:val="0"/>
              <w:tabs>
                <w:tab w:val="right" w:leader="underscore" w:pos="9600"/>
              </w:tabs>
              <w:spacing w:line="360" w:lineRule="auto"/>
              <w:jc w:val="center"/>
              <w:rPr>
                <w:rFonts w:ascii="Garamond" w:eastAsia="Calibri" w:hAnsi="Garamond"/>
              </w:rPr>
            </w:pPr>
            <w:r w:rsidRPr="00514F35">
              <w:rPr>
                <w:rFonts w:ascii="Garamond" w:eastAsia="Calibri" w:hAnsi="Garamond"/>
              </w:rPr>
              <w:t>4</w:t>
            </w:r>
          </w:p>
        </w:tc>
        <w:tc>
          <w:tcPr>
            <w:tcW w:w="5557" w:type="dxa"/>
          </w:tcPr>
          <w:p w14:paraId="6F58E932"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Personal computer (SO Windows) con configurazione hardware specifica per il controllo dello strumento AFM/</w:t>
            </w:r>
            <w:proofErr w:type="spellStart"/>
            <w:r w:rsidRPr="00514F35">
              <w:rPr>
                <w:rFonts w:ascii="Garamond" w:eastAsia="Times New Roman" w:hAnsi="Garamond" w:cstheme="minorHAnsi"/>
                <w:sz w:val="22"/>
                <w:szCs w:val="22"/>
              </w:rPr>
              <w:t>nanoIR</w:t>
            </w:r>
            <w:proofErr w:type="spellEnd"/>
            <w:r w:rsidRPr="00514F35">
              <w:rPr>
                <w:rFonts w:ascii="Garamond" w:eastAsia="Times New Roman" w:hAnsi="Garamond" w:cstheme="minorHAnsi"/>
                <w:sz w:val="22"/>
                <w:szCs w:val="22"/>
              </w:rPr>
              <w:t>, completo di due monitor (minimo 20 pollici) per visualizzazione simultanea dei controlli, immagini e analisi.</w:t>
            </w:r>
          </w:p>
          <w:p w14:paraId="40F706E5"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 xml:space="preserve">Un kit di almeno 30 sonde AFM, di diversa tipologia, adatte per l’utilizzo in modalità </w:t>
            </w:r>
            <w:proofErr w:type="spellStart"/>
            <w:r w:rsidRPr="00514F35">
              <w:rPr>
                <w:rFonts w:ascii="Garamond" w:eastAsia="Times New Roman" w:hAnsi="Garamond" w:cstheme="minorHAnsi"/>
                <w:sz w:val="22"/>
                <w:szCs w:val="22"/>
              </w:rPr>
              <w:t>Photothermal</w:t>
            </w:r>
            <w:proofErr w:type="spellEnd"/>
            <w:r w:rsidRPr="00514F35">
              <w:rPr>
                <w:rFonts w:ascii="Garamond" w:eastAsia="Times New Roman" w:hAnsi="Garamond" w:cstheme="minorHAnsi"/>
                <w:sz w:val="22"/>
                <w:szCs w:val="22"/>
              </w:rPr>
              <w:t xml:space="preserve"> AFM-IR (</w:t>
            </w:r>
            <w:proofErr w:type="spellStart"/>
            <w:r w:rsidRPr="00514F35">
              <w:rPr>
                <w:rFonts w:ascii="Garamond" w:eastAsia="Times New Roman" w:hAnsi="Garamond" w:cstheme="minorHAnsi"/>
                <w:sz w:val="22"/>
                <w:szCs w:val="22"/>
              </w:rPr>
              <w:t>contact</w:t>
            </w:r>
            <w:proofErr w:type="spellEnd"/>
            <w:r w:rsidRPr="00514F35">
              <w:rPr>
                <w:rFonts w:ascii="Garamond" w:eastAsia="Times New Roman" w:hAnsi="Garamond" w:cstheme="minorHAnsi"/>
                <w:sz w:val="22"/>
                <w:szCs w:val="22"/>
              </w:rPr>
              <w:t xml:space="preserve"> e </w:t>
            </w:r>
            <w:proofErr w:type="spellStart"/>
            <w:r w:rsidRPr="00514F35">
              <w:rPr>
                <w:rFonts w:ascii="Garamond" w:eastAsia="Times New Roman" w:hAnsi="Garamond" w:cstheme="minorHAnsi"/>
                <w:sz w:val="22"/>
                <w:szCs w:val="22"/>
              </w:rPr>
              <w:t>tapping</w:t>
            </w:r>
            <w:proofErr w:type="spellEnd"/>
            <w:r w:rsidRPr="00514F35">
              <w:rPr>
                <w:rFonts w:ascii="Garamond" w:eastAsia="Times New Roman" w:hAnsi="Garamond" w:cstheme="minorHAnsi"/>
                <w:sz w:val="22"/>
                <w:szCs w:val="22"/>
              </w:rPr>
              <w:t>) e s-SNOM.</w:t>
            </w:r>
          </w:p>
          <w:p w14:paraId="5FD0500A" w14:textId="77777777"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Software con licenza perpetua per il controllo dei diversi componenti dello strumento attraverso una singola interfaccia, inclusi l’allineamento delle sorgenti laser, la commutazione tra diverse sorgenti laser, il controllo del sistema AFM, l’acquisizione automatizzata delle immagini e degli spettri IR (su punti definiti, su linee o su griglia di punti), nonché l’elaborazione e l’analisi di immagine.</w:t>
            </w:r>
          </w:p>
          <w:p w14:paraId="559B6919" w14:textId="4862382F"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Manuali dell’Operatore, di Manute</w:t>
            </w:r>
            <w:r w:rsidR="0074672E">
              <w:rPr>
                <w:rFonts w:ascii="Garamond" w:eastAsia="Times New Roman" w:hAnsi="Garamond" w:cstheme="minorHAnsi"/>
                <w:sz w:val="22"/>
                <w:szCs w:val="22"/>
              </w:rPr>
              <w:t>nzione e di Riferimento Tecnico.</w:t>
            </w:r>
          </w:p>
          <w:p w14:paraId="461BB947" w14:textId="75E8BB92" w:rsidR="00C47839" w:rsidRPr="00514F35" w:rsidRDefault="00C47839" w:rsidP="00C47839">
            <w:pPr>
              <w:pStyle w:val="Default"/>
              <w:numPr>
                <w:ilvl w:val="0"/>
                <w:numId w:val="7"/>
              </w:numPr>
              <w:jc w:val="both"/>
              <w:rPr>
                <w:rFonts w:ascii="Garamond" w:eastAsia="Times New Roman" w:hAnsi="Garamond" w:cstheme="minorHAnsi"/>
                <w:sz w:val="22"/>
                <w:szCs w:val="22"/>
              </w:rPr>
            </w:pPr>
            <w:r w:rsidRPr="00514F35">
              <w:rPr>
                <w:rFonts w:ascii="Garamond" w:eastAsia="Times New Roman" w:hAnsi="Garamond" w:cstheme="minorHAnsi"/>
                <w:sz w:val="22"/>
                <w:szCs w:val="22"/>
              </w:rPr>
              <w:t>Certificazione CE</w:t>
            </w:r>
            <w:r w:rsidR="0074672E">
              <w:rPr>
                <w:rFonts w:ascii="Garamond" w:eastAsia="Times New Roman" w:hAnsi="Garamond" w:cstheme="minorHAnsi"/>
                <w:sz w:val="22"/>
                <w:szCs w:val="22"/>
              </w:rPr>
              <w:t>.</w:t>
            </w:r>
            <w:bookmarkStart w:id="0" w:name="_GoBack"/>
            <w:bookmarkEnd w:id="0"/>
          </w:p>
          <w:p w14:paraId="49EDCABF" w14:textId="77777777" w:rsidR="00C47839" w:rsidRPr="00514F35" w:rsidRDefault="00C47839" w:rsidP="00C47839">
            <w:pPr>
              <w:pStyle w:val="Default"/>
              <w:jc w:val="both"/>
              <w:rPr>
                <w:rFonts w:ascii="Garamond" w:eastAsia="Times New Roman" w:hAnsi="Garamond" w:cstheme="minorHAnsi"/>
                <w:sz w:val="22"/>
                <w:szCs w:val="22"/>
                <w:u w:val="single"/>
              </w:rPr>
            </w:pPr>
          </w:p>
        </w:tc>
        <w:tc>
          <w:tcPr>
            <w:tcW w:w="1701" w:type="dxa"/>
          </w:tcPr>
          <w:p w14:paraId="4287DB9A" w14:textId="77777777" w:rsidR="00C47839" w:rsidRPr="00514F35" w:rsidRDefault="00C47839" w:rsidP="00716916">
            <w:pPr>
              <w:widowControl w:val="0"/>
              <w:tabs>
                <w:tab w:val="right" w:leader="underscore" w:pos="9600"/>
              </w:tabs>
              <w:spacing w:line="360" w:lineRule="auto"/>
              <w:rPr>
                <w:rFonts w:ascii="Garamond" w:eastAsia="Calibri" w:hAnsi="Garamond"/>
              </w:rPr>
            </w:pPr>
          </w:p>
        </w:tc>
        <w:tc>
          <w:tcPr>
            <w:tcW w:w="2382" w:type="dxa"/>
          </w:tcPr>
          <w:p w14:paraId="71007118" w14:textId="77777777" w:rsidR="00C47839" w:rsidRPr="00514F35" w:rsidRDefault="00C47839" w:rsidP="00716916">
            <w:pPr>
              <w:widowControl w:val="0"/>
              <w:tabs>
                <w:tab w:val="right" w:leader="underscore" w:pos="9600"/>
              </w:tabs>
              <w:spacing w:line="360" w:lineRule="auto"/>
              <w:rPr>
                <w:rFonts w:ascii="Garamond" w:eastAsia="Calibri" w:hAnsi="Garamond"/>
              </w:rPr>
            </w:pPr>
          </w:p>
        </w:tc>
      </w:tr>
    </w:tbl>
    <w:p w14:paraId="5FADAEB0" w14:textId="7C7D02D0" w:rsidR="00CF758B" w:rsidRDefault="00CF758B" w:rsidP="00CF758B">
      <w:pPr>
        <w:rPr>
          <w:rFonts w:ascii="Garamond" w:hAnsi="Garamond"/>
          <w:b/>
        </w:rPr>
      </w:pPr>
    </w:p>
    <w:p w14:paraId="4BC88F1B" w14:textId="77777777" w:rsidR="00CF758B" w:rsidRPr="00580500"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6826D01B" w14:textId="77777777" w:rsidR="00CF758B" w:rsidRDefault="00CF758B" w:rsidP="00CF758B">
      <w:pPr>
        <w:spacing w:after="0" w:line="360" w:lineRule="auto"/>
        <w:rPr>
          <w:rFonts w:ascii="Garamond" w:eastAsia="Times New Roman" w:hAnsi="Garamond" w:cs="Arial"/>
          <w:spacing w:val="20"/>
          <w:lang w:eastAsia="it-IT"/>
        </w:rPr>
      </w:pPr>
      <w:r w:rsidRPr="00FE3754">
        <w:rPr>
          <w:rFonts w:ascii="Garamond" w:eastAsia="Times New Roman" w:hAnsi="Garamond" w:cs="Arial"/>
          <w:spacing w:val="20"/>
          <w:lang w:eastAsia="it-IT"/>
        </w:rPr>
        <w:t>Il Legale Rappresentante/Titolare dell’Impresa</w:t>
      </w:r>
    </w:p>
    <w:p w14:paraId="340A78B9" w14:textId="77777777" w:rsidR="00CF758B" w:rsidRPr="00485B47" w:rsidRDefault="00CF758B" w:rsidP="00CF758B">
      <w:pPr>
        <w:spacing w:after="0" w:line="360" w:lineRule="auto"/>
        <w:rPr>
          <w:rFonts w:ascii="Garamond" w:eastAsia="Times New Roman" w:hAnsi="Garamond" w:cs="Arial"/>
          <w:lang w:eastAsia="it-IT"/>
        </w:rPr>
      </w:pPr>
      <w:r w:rsidRPr="00485B47">
        <w:rPr>
          <w:rFonts w:ascii="Garamond" w:eastAsia="Times New Roman" w:hAnsi="Garamond" w:cs="Arial"/>
          <w:lang w:eastAsia="it-IT"/>
        </w:rPr>
        <w:t>Documento sottoscritto digitalmente da ______________</w:t>
      </w:r>
    </w:p>
    <w:p w14:paraId="10C60DAD" w14:textId="5146450D" w:rsidR="00CF758B"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7EB7A902" w14:textId="77777777" w:rsidR="000724A9" w:rsidRDefault="000724A9" w:rsidP="000724A9">
      <w:pPr>
        <w:pStyle w:val="Corpotesto"/>
        <w:spacing w:line="288" w:lineRule="auto"/>
        <w:ind w:left="0" w:right="-7"/>
        <w:contextualSpacing/>
        <w:jc w:val="both"/>
        <w:rPr>
          <w:rFonts w:ascii="Garamond" w:hAnsi="Garamond"/>
          <w:b/>
          <w:spacing w:val="-1"/>
          <w:sz w:val="22"/>
          <w:szCs w:val="22"/>
          <w:u w:val="single"/>
          <w:lang w:val="it-IT"/>
        </w:rPr>
      </w:pPr>
    </w:p>
    <w:p w14:paraId="19076FBB" w14:textId="77777777" w:rsidR="00CF758B" w:rsidRPr="003339AD"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4D561028" w14:textId="77777777" w:rsidR="00CF758B" w:rsidRPr="003339AD" w:rsidRDefault="00CF758B" w:rsidP="00CF758B">
      <w:pPr>
        <w:rPr>
          <w:rFonts w:ascii="Garamond" w:hAnsi="Garamond"/>
        </w:rPr>
      </w:pPr>
      <w:r w:rsidRPr="003339AD">
        <w:rPr>
          <w:rFonts w:ascii="Garamond" w:hAnsi="Garamond"/>
          <w:b/>
        </w:rPr>
        <w:t>Note utili alla compilazione</w:t>
      </w:r>
      <w:r w:rsidRPr="003339AD">
        <w:rPr>
          <w:rFonts w:ascii="Garamond" w:hAnsi="Garamond"/>
        </w:rPr>
        <w:t>:</w:t>
      </w:r>
    </w:p>
    <w:p w14:paraId="79B6A359" w14:textId="2195A69E"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L</w:t>
      </w:r>
      <w:r w:rsidR="001360F4">
        <w:rPr>
          <w:rFonts w:ascii="Garamond" w:eastAsia="Times New Roman" w:hAnsi="Garamond" w:cs="Arial"/>
          <w:lang w:eastAsia="it-IT"/>
        </w:rPr>
        <w:t xml:space="preserve">a presente scheda </w:t>
      </w:r>
      <w:r>
        <w:rPr>
          <w:rFonts w:ascii="Garamond" w:eastAsia="Times New Roman" w:hAnsi="Garamond" w:cs="Arial"/>
          <w:lang w:eastAsia="it-IT"/>
        </w:rPr>
        <w:t>tecnica</w:t>
      </w:r>
      <w:r w:rsidRPr="00DE616A">
        <w:rPr>
          <w:rFonts w:ascii="Garamond" w:eastAsia="Times New Roman" w:hAnsi="Garamond" w:cs="Arial"/>
          <w:lang w:eastAsia="it-IT"/>
        </w:rPr>
        <w:t xml:space="preserve"> deve essere </w:t>
      </w:r>
      <w:r w:rsidRPr="003D7B8C">
        <w:rPr>
          <w:rFonts w:ascii="Garamond" w:eastAsia="Times New Roman" w:hAnsi="Garamond" w:cs="Arial"/>
          <w:b/>
          <w:lang w:eastAsia="it-IT"/>
        </w:rPr>
        <w:t>sottoscritta digitalmente</w:t>
      </w:r>
      <w:r w:rsidRPr="00DE616A">
        <w:rPr>
          <w:rFonts w:ascii="Garamond" w:eastAsia="Times New Roman" w:hAnsi="Garamond" w:cs="Arial"/>
          <w:lang w:eastAsia="it-IT"/>
        </w:rPr>
        <w:t xml:space="preserve"> dal legale rappresentante </w:t>
      </w:r>
      <w:r>
        <w:rPr>
          <w:rFonts w:ascii="Garamond" w:eastAsia="Times New Roman" w:hAnsi="Garamond" w:cs="Arial"/>
          <w:lang w:eastAsia="it-IT"/>
        </w:rPr>
        <w:t xml:space="preserve">dell’operatore economico </w:t>
      </w:r>
      <w:r w:rsidRPr="00DE616A">
        <w:rPr>
          <w:rFonts w:ascii="Garamond" w:eastAsia="Times New Roman" w:hAnsi="Garamond" w:cs="Arial"/>
          <w:lang w:eastAsia="it-IT"/>
        </w:rPr>
        <w:t xml:space="preserve">concorrente; </w:t>
      </w:r>
    </w:p>
    <w:p w14:paraId="6EA57ED9" w14:textId="77777777"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 xml:space="preserve">nel caso di RTI costituito, dal Legale rappresentante della società mandataria; </w:t>
      </w:r>
    </w:p>
    <w:p w14:paraId="0DC5EC26" w14:textId="2853431B" w:rsidR="00C56FF4" w:rsidRPr="000F6200" w:rsidRDefault="00CF758B" w:rsidP="000724A9">
      <w:pPr>
        <w:spacing w:after="0" w:line="240" w:lineRule="auto"/>
        <w:jc w:val="both"/>
        <w:rPr>
          <w:rFonts w:ascii="Garamond" w:eastAsia="Calibri" w:hAnsi="Garamond" w:cs="Times New Roman"/>
          <w:lang w:eastAsia="it-IT"/>
        </w:rPr>
      </w:pPr>
      <w:r w:rsidRPr="00DE616A">
        <w:rPr>
          <w:rFonts w:ascii="Garamond" w:eastAsia="Times New Roman" w:hAnsi="Garamond" w:cs="Arial"/>
          <w:lang w:eastAsia="it-IT"/>
        </w:rPr>
        <w:t>nel caso di RTI costituendo, dai legali rappresentanti di ciascun operatore economico che partecipa alla procedura in forma congiunta.</w:t>
      </w:r>
    </w:p>
    <w:sectPr w:rsidR="00C56FF4"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6719"/>
      <w:docPartObj>
        <w:docPartGallery w:val="Page Numbers (Bottom of Page)"/>
        <w:docPartUnique/>
      </w:docPartObj>
    </w:sdtPr>
    <w:sdtEndPr/>
    <w:sdtContent>
      <w:p w14:paraId="4D86C301" w14:textId="1E84C4D0" w:rsidR="00DE607F" w:rsidRDefault="00DE607F">
        <w:pPr>
          <w:pStyle w:val="Pidipagina"/>
          <w:jc w:val="center"/>
        </w:pPr>
        <w:r>
          <w:fldChar w:fldCharType="begin"/>
        </w:r>
        <w:r>
          <w:instrText>PAGE   \* MERGEFORMAT</w:instrText>
        </w:r>
        <w:r>
          <w:fldChar w:fldCharType="separate"/>
        </w:r>
        <w:r w:rsidR="0074672E">
          <w:rPr>
            <w:noProof/>
          </w:rPr>
          <w:t>3</w:t>
        </w:r>
        <w:r>
          <w:fldChar w:fldCharType="end"/>
        </w:r>
      </w:p>
    </w:sdtContent>
  </w:sdt>
  <w:p w14:paraId="45F3D99A" w14:textId="77777777"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6AC"/>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9C75541"/>
    <w:multiLevelType w:val="hybridMultilevel"/>
    <w:tmpl w:val="CE8687A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6B1DB8"/>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E043D6"/>
    <w:multiLevelType w:val="hybridMultilevel"/>
    <w:tmpl w:val="78503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E80BBA"/>
    <w:multiLevelType w:val="hybridMultilevel"/>
    <w:tmpl w:val="8A50C2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EB188C"/>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C26412"/>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16376F"/>
    <w:multiLevelType w:val="hybridMultilevel"/>
    <w:tmpl w:val="7E724762"/>
    <w:lvl w:ilvl="0" w:tplc="1F985036">
      <w:numFmt w:val="bullet"/>
      <w:lvlText w:val="•"/>
      <w:lvlJc w:val="left"/>
      <w:pPr>
        <w:ind w:left="1065" w:hanging="705"/>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FC3CCD"/>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9013F24"/>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A172CC"/>
    <w:multiLevelType w:val="hybridMultilevel"/>
    <w:tmpl w:val="8FCE45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ED59A4"/>
    <w:multiLevelType w:val="hybridMultilevel"/>
    <w:tmpl w:val="4BFEBDF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5117D6"/>
    <w:multiLevelType w:val="hybridMultilevel"/>
    <w:tmpl w:val="4E963CA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907688"/>
    <w:multiLevelType w:val="hybridMultilevel"/>
    <w:tmpl w:val="08D6515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B41350"/>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736966E0"/>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444591"/>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5"/>
  </w:num>
  <w:num w:numId="2">
    <w:abstractNumId w:val="10"/>
  </w:num>
  <w:num w:numId="3">
    <w:abstractNumId w:val="6"/>
  </w:num>
  <w:num w:numId="4">
    <w:abstractNumId w:val="16"/>
  </w:num>
  <w:num w:numId="5">
    <w:abstractNumId w:val="2"/>
  </w:num>
  <w:num w:numId="6">
    <w:abstractNumId w:val="7"/>
  </w:num>
  <w:num w:numId="7">
    <w:abstractNumId w:val="3"/>
  </w:num>
  <w:num w:numId="8">
    <w:abstractNumId w:val="8"/>
  </w:num>
  <w:num w:numId="9">
    <w:abstractNumId w:val="4"/>
  </w:num>
  <w:num w:numId="10">
    <w:abstractNumId w:val="11"/>
  </w:num>
  <w:num w:numId="11">
    <w:abstractNumId w:val="13"/>
  </w:num>
  <w:num w:numId="12">
    <w:abstractNumId w:val="12"/>
  </w:num>
  <w:num w:numId="13">
    <w:abstractNumId w:val="15"/>
  </w:num>
  <w:num w:numId="14">
    <w:abstractNumId w:val="17"/>
  </w:num>
  <w:num w:numId="15">
    <w:abstractNumId w:val="9"/>
  </w:num>
  <w:num w:numId="16">
    <w:abstractNumId w:val="0"/>
  </w:num>
  <w:num w:numId="17">
    <w:abstractNumId w:val="14"/>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6"/>
    <w:rsid w:val="00001026"/>
    <w:rsid w:val="00005619"/>
    <w:rsid w:val="00007E6E"/>
    <w:rsid w:val="00013716"/>
    <w:rsid w:val="000213C8"/>
    <w:rsid w:val="0004319A"/>
    <w:rsid w:val="00044ECD"/>
    <w:rsid w:val="00045030"/>
    <w:rsid w:val="00062BAE"/>
    <w:rsid w:val="00063E96"/>
    <w:rsid w:val="00070F6F"/>
    <w:rsid w:val="000724A9"/>
    <w:rsid w:val="000843A1"/>
    <w:rsid w:val="00087FAC"/>
    <w:rsid w:val="00090D9F"/>
    <w:rsid w:val="000A1C65"/>
    <w:rsid w:val="000A2496"/>
    <w:rsid w:val="000A3D59"/>
    <w:rsid w:val="000A66FC"/>
    <w:rsid w:val="000B622C"/>
    <w:rsid w:val="000B65C0"/>
    <w:rsid w:val="000C721A"/>
    <w:rsid w:val="000D15B3"/>
    <w:rsid w:val="000D6B75"/>
    <w:rsid w:val="000F03B4"/>
    <w:rsid w:val="000F55CE"/>
    <w:rsid w:val="000F6200"/>
    <w:rsid w:val="001026E8"/>
    <w:rsid w:val="0010292B"/>
    <w:rsid w:val="001117C4"/>
    <w:rsid w:val="00115916"/>
    <w:rsid w:val="00132CBE"/>
    <w:rsid w:val="001360F4"/>
    <w:rsid w:val="001412A4"/>
    <w:rsid w:val="001419FA"/>
    <w:rsid w:val="00155284"/>
    <w:rsid w:val="00156E09"/>
    <w:rsid w:val="00160B84"/>
    <w:rsid w:val="001812C1"/>
    <w:rsid w:val="001859D9"/>
    <w:rsid w:val="001860A1"/>
    <w:rsid w:val="00187F8E"/>
    <w:rsid w:val="00195530"/>
    <w:rsid w:val="00196A4F"/>
    <w:rsid w:val="001A02BF"/>
    <w:rsid w:val="001A3992"/>
    <w:rsid w:val="001A50FD"/>
    <w:rsid w:val="001E190A"/>
    <w:rsid w:val="002137CC"/>
    <w:rsid w:val="0021576A"/>
    <w:rsid w:val="00227822"/>
    <w:rsid w:val="00233082"/>
    <w:rsid w:val="00255D97"/>
    <w:rsid w:val="00262367"/>
    <w:rsid w:val="00267ED4"/>
    <w:rsid w:val="00283808"/>
    <w:rsid w:val="00284B9C"/>
    <w:rsid w:val="00292388"/>
    <w:rsid w:val="002A3C6E"/>
    <w:rsid w:val="002A6B0E"/>
    <w:rsid w:val="002C16C2"/>
    <w:rsid w:val="002E7227"/>
    <w:rsid w:val="002F26B7"/>
    <w:rsid w:val="00315259"/>
    <w:rsid w:val="00315782"/>
    <w:rsid w:val="00323672"/>
    <w:rsid w:val="003339AD"/>
    <w:rsid w:val="00351E65"/>
    <w:rsid w:val="003901AE"/>
    <w:rsid w:val="0039636F"/>
    <w:rsid w:val="003A245E"/>
    <w:rsid w:val="003A2E75"/>
    <w:rsid w:val="003A4765"/>
    <w:rsid w:val="003B4425"/>
    <w:rsid w:val="003C60F8"/>
    <w:rsid w:val="003C6981"/>
    <w:rsid w:val="003D6F8E"/>
    <w:rsid w:val="003F11CA"/>
    <w:rsid w:val="00415102"/>
    <w:rsid w:val="004171DA"/>
    <w:rsid w:val="00420CD8"/>
    <w:rsid w:val="00422966"/>
    <w:rsid w:val="00434CC6"/>
    <w:rsid w:val="00434F0D"/>
    <w:rsid w:val="004454CB"/>
    <w:rsid w:val="00445E7C"/>
    <w:rsid w:val="00457082"/>
    <w:rsid w:val="004664A1"/>
    <w:rsid w:val="004743FB"/>
    <w:rsid w:val="00480D25"/>
    <w:rsid w:val="004B02FC"/>
    <w:rsid w:val="004B17EC"/>
    <w:rsid w:val="004B2D73"/>
    <w:rsid w:val="004C70FC"/>
    <w:rsid w:val="004D1CCC"/>
    <w:rsid w:val="004D4333"/>
    <w:rsid w:val="004D4E16"/>
    <w:rsid w:val="00507912"/>
    <w:rsid w:val="00514F35"/>
    <w:rsid w:val="00522201"/>
    <w:rsid w:val="0052393B"/>
    <w:rsid w:val="00534645"/>
    <w:rsid w:val="00540943"/>
    <w:rsid w:val="00543C6D"/>
    <w:rsid w:val="00572DD4"/>
    <w:rsid w:val="00574C74"/>
    <w:rsid w:val="00580500"/>
    <w:rsid w:val="00582EE5"/>
    <w:rsid w:val="00591BC7"/>
    <w:rsid w:val="00594C79"/>
    <w:rsid w:val="005B485C"/>
    <w:rsid w:val="005D418F"/>
    <w:rsid w:val="005E51BF"/>
    <w:rsid w:val="005E5814"/>
    <w:rsid w:val="005F716B"/>
    <w:rsid w:val="0060555A"/>
    <w:rsid w:val="00626A29"/>
    <w:rsid w:val="006313CA"/>
    <w:rsid w:val="006339BE"/>
    <w:rsid w:val="00640A68"/>
    <w:rsid w:val="00644958"/>
    <w:rsid w:val="00647CD2"/>
    <w:rsid w:val="00654072"/>
    <w:rsid w:val="00665386"/>
    <w:rsid w:val="00680A6F"/>
    <w:rsid w:val="00684318"/>
    <w:rsid w:val="00695654"/>
    <w:rsid w:val="006A5177"/>
    <w:rsid w:val="006A5C05"/>
    <w:rsid w:val="006B4BA2"/>
    <w:rsid w:val="006B4F71"/>
    <w:rsid w:val="006C1E59"/>
    <w:rsid w:val="006C361A"/>
    <w:rsid w:val="007064B4"/>
    <w:rsid w:val="00706671"/>
    <w:rsid w:val="00720F4F"/>
    <w:rsid w:val="00722A13"/>
    <w:rsid w:val="0074672E"/>
    <w:rsid w:val="00762503"/>
    <w:rsid w:val="0076494D"/>
    <w:rsid w:val="0076717A"/>
    <w:rsid w:val="00774AEC"/>
    <w:rsid w:val="00787DE1"/>
    <w:rsid w:val="007B360A"/>
    <w:rsid w:val="007B558A"/>
    <w:rsid w:val="007C0546"/>
    <w:rsid w:val="007C10CA"/>
    <w:rsid w:val="007C14C3"/>
    <w:rsid w:val="007C542C"/>
    <w:rsid w:val="007D5FE0"/>
    <w:rsid w:val="008020F4"/>
    <w:rsid w:val="00804F13"/>
    <w:rsid w:val="00834934"/>
    <w:rsid w:val="00835867"/>
    <w:rsid w:val="00870708"/>
    <w:rsid w:val="008718A5"/>
    <w:rsid w:val="00872056"/>
    <w:rsid w:val="0088277C"/>
    <w:rsid w:val="008B6E76"/>
    <w:rsid w:val="008B78BA"/>
    <w:rsid w:val="008C1996"/>
    <w:rsid w:val="008C6FF5"/>
    <w:rsid w:val="008D4FB2"/>
    <w:rsid w:val="008D7354"/>
    <w:rsid w:val="008E7DAE"/>
    <w:rsid w:val="008E7E41"/>
    <w:rsid w:val="00915FBF"/>
    <w:rsid w:val="00924BD0"/>
    <w:rsid w:val="0093156F"/>
    <w:rsid w:val="0093385B"/>
    <w:rsid w:val="0094499F"/>
    <w:rsid w:val="00947276"/>
    <w:rsid w:val="00981E7A"/>
    <w:rsid w:val="009A71CE"/>
    <w:rsid w:val="009E0D94"/>
    <w:rsid w:val="009E3452"/>
    <w:rsid w:val="00A1344C"/>
    <w:rsid w:val="00A21C66"/>
    <w:rsid w:val="00A4732A"/>
    <w:rsid w:val="00A5331B"/>
    <w:rsid w:val="00A55958"/>
    <w:rsid w:val="00A60B8B"/>
    <w:rsid w:val="00A758BE"/>
    <w:rsid w:val="00A76EE9"/>
    <w:rsid w:val="00A94AD7"/>
    <w:rsid w:val="00AC4574"/>
    <w:rsid w:val="00AE4371"/>
    <w:rsid w:val="00AF1465"/>
    <w:rsid w:val="00AF4C84"/>
    <w:rsid w:val="00B25EA0"/>
    <w:rsid w:val="00B26D47"/>
    <w:rsid w:val="00B30486"/>
    <w:rsid w:val="00B329E7"/>
    <w:rsid w:val="00B64A4A"/>
    <w:rsid w:val="00B67D6D"/>
    <w:rsid w:val="00B67E24"/>
    <w:rsid w:val="00B82BE7"/>
    <w:rsid w:val="00BC16B9"/>
    <w:rsid w:val="00BC3AAA"/>
    <w:rsid w:val="00BC62C0"/>
    <w:rsid w:val="00BC72FB"/>
    <w:rsid w:val="00BD4421"/>
    <w:rsid w:val="00BD77D5"/>
    <w:rsid w:val="00BE2B79"/>
    <w:rsid w:val="00BE2C93"/>
    <w:rsid w:val="00BE4085"/>
    <w:rsid w:val="00BF104D"/>
    <w:rsid w:val="00BF66A4"/>
    <w:rsid w:val="00C03F56"/>
    <w:rsid w:val="00C05DA4"/>
    <w:rsid w:val="00C155AA"/>
    <w:rsid w:val="00C30239"/>
    <w:rsid w:val="00C4157B"/>
    <w:rsid w:val="00C47839"/>
    <w:rsid w:val="00C55770"/>
    <w:rsid w:val="00C56FF4"/>
    <w:rsid w:val="00C6471E"/>
    <w:rsid w:val="00C64C35"/>
    <w:rsid w:val="00C65069"/>
    <w:rsid w:val="00C901BD"/>
    <w:rsid w:val="00C96564"/>
    <w:rsid w:val="00CB4CF3"/>
    <w:rsid w:val="00CE0586"/>
    <w:rsid w:val="00CE1CD1"/>
    <w:rsid w:val="00CF758B"/>
    <w:rsid w:val="00D0263F"/>
    <w:rsid w:val="00D03EF7"/>
    <w:rsid w:val="00D1156E"/>
    <w:rsid w:val="00D14B4F"/>
    <w:rsid w:val="00D44F66"/>
    <w:rsid w:val="00D453CC"/>
    <w:rsid w:val="00D53AAF"/>
    <w:rsid w:val="00D618DE"/>
    <w:rsid w:val="00D619A6"/>
    <w:rsid w:val="00D6295E"/>
    <w:rsid w:val="00D704D5"/>
    <w:rsid w:val="00D80C75"/>
    <w:rsid w:val="00D928CD"/>
    <w:rsid w:val="00D97C6B"/>
    <w:rsid w:val="00DA6586"/>
    <w:rsid w:val="00DE607F"/>
    <w:rsid w:val="00DF4256"/>
    <w:rsid w:val="00E1329A"/>
    <w:rsid w:val="00E13E2A"/>
    <w:rsid w:val="00E276D5"/>
    <w:rsid w:val="00E37460"/>
    <w:rsid w:val="00E5615E"/>
    <w:rsid w:val="00E63646"/>
    <w:rsid w:val="00E80BDE"/>
    <w:rsid w:val="00EA4C5C"/>
    <w:rsid w:val="00EB0654"/>
    <w:rsid w:val="00EC7611"/>
    <w:rsid w:val="00ED1100"/>
    <w:rsid w:val="00EE799C"/>
    <w:rsid w:val="00EF55D4"/>
    <w:rsid w:val="00F34C2E"/>
    <w:rsid w:val="00F35425"/>
    <w:rsid w:val="00F36FC8"/>
    <w:rsid w:val="00F41B3D"/>
    <w:rsid w:val="00F6091E"/>
    <w:rsid w:val="00F67E4E"/>
    <w:rsid w:val="00F80970"/>
    <w:rsid w:val="00F87806"/>
    <w:rsid w:val="00F97D74"/>
    <w:rsid w:val="00FA41AE"/>
    <w:rsid w:val="00FA7258"/>
    <w:rsid w:val="00FB193F"/>
    <w:rsid w:val="00FB46DC"/>
    <w:rsid w:val="00FB5495"/>
    <w:rsid w:val="00FB68B4"/>
    <w:rsid w:val="00FC3BAC"/>
    <w:rsid w:val="00FC4627"/>
    <w:rsid w:val="00FD188C"/>
    <w:rsid w:val="00FD3783"/>
    <w:rsid w:val="00FD7E75"/>
    <w:rsid w:val="00FE075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uiPriority w:val="99"/>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FA7258"/>
    <w:rPr>
      <w:sz w:val="16"/>
      <w:szCs w:val="16"/>
    </w:rPr>
  </w:style>
  <w:style w:type="paragraph" w:styleId="Testocommento">
    <w:name w:val="annotation text"/>
    <w:basedOn w:val="Normale"/>
    <w:link w:val="TestocommentoCarattere"/>
    <w:uiPriority w:val="99"/>
    <w:semiHidden/>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 w:type="paragraph" w:styleId="Corpotesto">
    <w:name w:val="Body Text"/>
    <w:basedOn w:val="Normale"/>
    <w:link w:val="CorpotestoCarattere"/>
    <w:uiPriority w:val="1"/>
    <w:semiHidden/>
    <w:unhideWhenUsed/>
    <w:qFormat/>
    <w:rsid w:val="000724A9"/>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0724A9"/>
    <w:rPr>
      <w:rFonts w:ascii="Arial" w:eastAsia="Arial" w:hAnsi="Arial" w:cs="Times New Roman"/>
      <w:sz w:val="24"/>
      <w:szCs w:val="24"/>
      <w:lang w:val="en-US"/>
    </w:rPr>
  </w:style>
  <w:style w:type="character" w:styleId="Enfasicorsivo">
    <w:name w:val="Emphasis"/>
    <w:basedOn w:val="Carpredefinitoparagrafo"/>
    <w:uiPriority w:val="20"/>
    <w:qFormat/>
    <w:rsid w:val="00C4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8D31-B115-4832-A135-2526E72B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1105</Words>
  <Characters>6304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GLORIOSO  ANNA MARIA</cp:lastModifiedBy>
  <cp:revision>50</cp:revision>
  <dcterms:created xsi:type="dcterms:W3CDTF">2020-08-03T08:34:00Z</dcterms:created>
  <dcterms:modified xsi:type="dcterms:W3CDTF">2021-05-26T08:00:00Z</dcterms:modified>
</cp:coreProperties>
</file>